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A6" w:rsidRPr="00046981" w:rsidRDefault="00B731DB" w:rsidP="00FB71B7">
      <w:pPr>
        <w:pStyle w:val="Overskrift1"/>
        <w:rPr>
          <w:sz w:val="112"/>
          <w:szCs w:val="112"/>
        </w:rPr>
      </w:pPr>
      <w:bookmarkStart w:id="0" w:name="_Toc423342669"/>
      <w:r w:rsidRPr="00046981">
        <w:rPr>
          <w:sz w:val="112"/>
          <w:szCs w:val="112"/>
        </w:rPr>
        <w:t>T</w:t>
      </w:r>
      <w:r w:rsidR="004E1D38" w:rsidRPr="00046981">
        <w:rPr>
          <w:sz w:val="112"/>
          <w:szCs w:val="112"/>
        </w:rPr>
        <w:t>rivselsanalyse</w:t>
      </w:r>
      <w:bookmarkEnd w:id="0"/>
    </w:p>
    <w:p w:rsidR="00B731DB" w:rsidRPr="00B731DB" w:rsidRDefault="00B731DB" w:rsidP="00FB71B7">
      <w:pPr>
        <w:pStyle w:val="Overskrift1"/>
      </w:pPr>
      <w:bookmarkStart w:id="1" w:name="_Toc423342670"/>
      <w:r>
        <w:t>- ældre døvblindes virkelighed</w:t>
      </w:r>
      <w:bookmarkEnd w:id="1"/>
      <w:r>
        <w:t xml:space="preserve"> </w:t>
      </w:r>
    </w:p>
    <w:p w:rsidR="00A42E85" w:rsidRDefault="00A42E85" w:rsidP="006A6F49">
      <w:pPr>
        <w:spacing w:after="120"/>
      </w:pPr>
    </w:p>
    <w:p w:rsidR="00B731DB" w:rsidRDefault="00EB71B0" w:rsidP="00EB71B0">
      <w:pPr>
        <w:pStyle w:val="Overskrift1"/>
      </w:pPr>
      <w:bookmarkStart w:id="2" w:name="_Toc423342671"/>
      <w:r>
        <w:t>Indholdsfortegnelse</w:t>
      </w:r>
      <w:bookmarkEnd w:id="2"/>
    </w:p>
    <w:p w:rsidR="00EB71B0" w:rsidRDefault="00EB71B0" w:rsidP="00EB71B0">
      <w:pPr>
        <w:pStyle w:val="Indholdsfortegnelse1"/>
        <w:tabs>
          <w:tab w:val="right" w:leader="dot" w:pos="9488"/>
        </w:tabs>
        <w:rPr>
          <w:rFonts w:asciiTheme="minorHAnsi" w:eastAsiaTheme="minorEastAsia" w:hAnsiTheme="minorHAnsi"/>
          <w:b w:val="0"/>
          <w:noProof/>
          <w:sz w:val="22"/>
          <w:szCs w:val="20"/>
          <w:lang w:eastAsia="da-DK" w:bidi="ne-NP"/>
        </w:rPr>
      </w:pPr>
      <w:r>
        <w:fldChar w:fldCharType="begin"/>
      </w:r>
      <w:r>
        <w:instrText xml:space="preserve"> TOC \o "1-1" \u </w:instrText>
      </w:r>
      <w:r>
        <w:fldChar w:fldCharType="separate"/>
      </w:r>
    </w:p>
    <w:p w:rsidR="00EB71B0" w:rsidRDefault="00EB71B0">
      <w:pPr>
        <w:pStyle w:val="Indholdsfortegnelse1"/>
        <w:tabs>
          <w:tab w:val="right" w:leader="dot" w:pos="9488"/>
        </w:tabs>
        <w:rPr>
          <w:rFonts w:asciiTheme="minorHAnsi" w:eastAsiaTheme="minorEastAsia" w:hAnsiTheme="minorHAnsi"/>
          <w:b w:val="0"/>
          <w:noProof/>
          <w:sz w:val="22"/>
          <w:szCs w:val="20"/>
          <w:lang w:eastAsia="da-DK" w:bidi="ne-NP"/>
        </w:rPr>
      </w:pPr>
      <w:r>
        <w:rPr>
          <w:noProof/>
        </w:rPr>
        <w:t>Indledning</w:t>
      </w:r>
      <w:r>
        <w:rPr>
          <w:noProof/>
        </w:rPr>
        <w:tab/>
      </w:r>
      <w:r>
        <w:rPr>
          <w:noProof/>
        </w:rPr>
        <w:fldChar w:fldCharType="begin"/>
      </w:r>
      <w:r>
        <w:rPr>
          <w:noProof/>
        </w:rPr>
        <w:instrText xml:space="preserve"> PAGEREF _Toc423342672 \h </w:instrText>
      </w:r>
      <w:r>
        <w:rPr>
          <w:noProof/>
        </w:rPr>
      </w:r>
      <w:r>
        <w:rPr>
          <w:noProof/>
        </w:rPr>
        <w:fldChar w:fldCharType="separate"/>
      </w:r>
      <w:r>
        <w:rPr>
          <w:noProof/>
        </w:rPr>
        <w:t>2</w:t>
      </w:r>
      <w:r>
        <w:rPr>
          <w:noProof/>
        </w:rPr>
        <w:fldChar w:fldCharType="end"/>
      </w:r>
    </w:p>
    <w:p w:rsidR="00EB71B0" w:rsidRDefault="00EB71B0">
      <w:pPr>
        <w:pStyle w:val="Indholdsfortegnelse1"/>
        <w:tabs>
          <w:tab w:val="right" w:leader="dot" w:pos="9488"/>
        </w:tabs>
        <w:rPr>
          <w:rFonts w:asciiTheme="minorHAnsi" w:eastAsiaTheme="minorEastAsia" w:hAnsiTheme="minorHAnsi"/>
          <w:b w:val="0"/>
          <w:noProof/>
          <w:sz w:val="22"/>
          <w:szCs w:val="20"/>
          <w:lang w:eastAsia="da-DK" w:bidi="ne-NP"/>
        </w:rPr>
      </w:pPr>
      <w:r>
        <w:rPr>
          <w:noProof/>
        </w:rPr>
        <w:t>Baggrund</w:t>
      </w:r>
      <w:r>
        <w:rPr>
          <w:noProof/>
        </w:rPr>
        <w:tab/>
      </w:r>
      <w:r>
        <w:rPr>
          <w:noProof/>
        </w:rPr>
        <w:fldChar w:fldCharType="begin"/>
      </w:r>
      <w:r>
        <w:rPr>
          <w:noProof/>
        </w:rPr>
        <w:instrText xml:space="preserve"> PAGEREF _Toc423342673 \h </w:instrText>
      </w:r>
      <w:r>
        <w:rPr>
          <w:noProof/>
        </w:rPr>
      </w:r>
      <w:r>
        <w:rPr>
          <w:noProof/>
        </w:rPr>
        <w:fldChar w:fldCharType="separate"/>
      </w:r>
      <w:r>
        <w:rPr>
          <w:noProof/>
        </w:rPr>
        <w:t>2</w:t>
      </w:r>
      <w:r>
        <w:rPr>
          <w:noProof/>
        </w:rPr>
        <w:fldChar w:fldCharType="end"/>
      </w:r>
    </w:p>
    <w:p w:rsidR="00EB71B0" w:rsidRDefault="00EB71B0">
      <w:pPr>
        <w:pStyle w:val="Indholdsfortegnelse1"/>
        <w:tabs>
          <w:tab w:val="right" w:leader="dot" w:pos="9488"/>
        </w:tabs>
        <w:rPr>
          <w:rFonts w:asciiTheme="minorHAnsi" w:eastAsiaTheme="minorEastAsia" w:hAnsiTheme="minorHAnsi"/>
          <w:b w:val="0"/>
          <w:noProof/>
          <w:sz w:val="22"/>
          <w:szCs w:val="20"/>
          <w:lang w:eastAsia="da-DK" w:bidi="ne-NP"/>
        </w:rPr>
      </w:pPr>
      <w:r>
        <w:rPr>
          <w:noProof/>
        </w:rPr>
        <w:t>Deltagerne i undersøgelsen</w:t>
      </w:r>
      <w:r>
        <w:rPr>
          <w:noProof/>
        </w:rPr>
        <w:tab/>
      </w:r>
      <w:r>
        <w:rPr>
          <w:noProof/>
        </w:rPr>
        <w:fldChar w:fldCharType="begin"/>
      </w:r>
      <w:r>
        <w:rPr>
          <w:noProof/>
        </w:rPr>
        <w:instrText xml:space="preserve"> PAGEREF _Toc423342674 \h </w:instrText>
      </w:r>
      <w:r>
        <w:rPr>
          <w:noProof/>
        </w:rPr>
      </w:r>
      <w:r>
        <w:rPr>
          <w:noProof/>
        </w:rPr>
        <w:fldChar w:fldCharType="separate"/>
      </w:r>
      <w:r>
        <w:rPr>
          <w:noProof/>
        </w:rPr>
        <w:t>4</w:t>
      </w:r>
      <w:r>
        <w:rPr>
          <w:noProof/>
        </w:rPr>
        <w:fldChar w:fldCharType="end"/>
      </w:r>
    </w:p>
    <w:p w:rsidR="00EB71B0" w:rsidRDefault="00EB71B0">
      <w:pPr>
        <w:pStyle w:val="Indholdsfortegnelse1"/>
        <w:tabs>
          <w:tab w:val="right" w:leader="dot" w:pos="9488"/>
        </w:tabs>
        <w:rPr>
          <w:rFonts w:asciiTheme="minorHAnsi" w:eastAsiaTheme="minorEastAsia" w:hAnsiTheme="minorHAnsi"/>
          <w:b w:val="0"/>
          <w:noProof/>
          <w:sz w:val="22"/>
          <w:szCs w:val="20"/>
          <w:lang w:eastAsia="da-DK" w:bidi="ne-NP"/>
        </w:rPr>
      </w:pPr>
      <w:r>
        <w:rPr>
          <w:noProof/>
        </w:rPr>
        <w:t>Metode</w:t>
      </w:r>
      <w:r>
        <w:rPr>
          <w:noProof/>
        </w:rPr>
        <w:tab/>
      </w:r>
      <w:r>
        <w:rPr>
          <w:noProof/>
        </w:rPr>
        <w:fldChar w:fldCharType="begin"/>
      </w:r>
      <w:r>
        <w:rPr>
          <w:noProof/>
        </w:rPr>
        <w:instrText xml:space="preserve"> PAGEREF _Toc423342675 \h </w:instrText>
      </w:r>
      <w:r>
        <w:rPr>
          <w:noProof/>
        </w:rPr>
      </w:r>
      <w:r>
        <w:rPr>
          <w:noProof/>
        </w:rPr>
        <w:fldChar w:fldCharType="separate"/>
      </w:r>
      <w:r>
        <w:rPr>
          <w:noProof/>
        </w:rPr>
        <w:t>4</w:t>
      </w:r>
      <w:r>
        <w:rPr>
          <w:noProof/>
        </w:rPr>
        <w:fldChar w:fldCharType="end"/>
      </w:r>
    </w:p>
    <w:p w:rsidR="00EB71B0" w:rsidRDefault="00EB71B0">
      <w:pPr>
        <w:pStyle w:val="Indholdsfortegnelse1"/>
        <w:tabs>
          <w:tab w:val="right" w:leader="dot" w:pos="9488"/>
        </w:tabs>
        <w:rPr>
          <w:rFonts w:asciiTheme="minorHAnsi" w:eastAsiaTheme="minorEastAsia" w:hAnsiTheme="minorHAnsi"/>
          <w:b w:val="0"/>
          <w:noProof/>
          <w:sz w:val="22"/>
          <w:szCs w:val="20"/>
          <w:lang w:eastAsia="da-DK" w:bidi="ne-NP"/>
        </w:rPr>
      </w:pPr>
      <w:r>
        <w:rPr>
          <w:noProof/>
        </w:rPr>
        <w:t>Den digitale virkelighed</w:t>
      </w:r>
      <w:r>
        <w:rPr>
          <w:noProof/>
        </w:rPr>
        <w:tab/>
      </w:r>
      <w:r>
        <w:rPr>
          <w:noProof/>
        </w:rPr>
        <w:fldChar w:fldCharType="begin"/>
      </w:r>
      <w:r>
        <w:rPr>
          <w:noProof/>
        </w:rPr>
        <w:instrText xml:space="preserve"> PAGEREF _Toc423342676 \h </w:instrText>
      </w:r>
      <w:r>
        <w:rPr>
          <w:noProof/>
        </w:rPr>
      </w:r>
      <w:r>
        <w:rPr>
          <w:noProof/>
        </w:rPr>
        <w:fldChar w:fldCharType="separate"/>
      </w:r>
      <w:r>
        <w:rPr>
          <w:noProof/>
        </w:rPr>
        <w:t>7</w:t>
      </w:r>
      <w:r>
        <w:rPr>
          <w:noProof/>
        </w:rPr>
        <w:fldChar w:fldCharType="end"/>
      </w:r>
    </w:p>
    <w:p w:rsidR="00EB71B0" w:rsidRDefault="00EB71B0">
      <w:pPr>
        <w:pStyle w:val="Indholdsfortegnelse1"/>
        <w:tabs>
          <w:tab w:val="right" w:leader="dot" w:pos="9488"/>
        </w:tabs>
        <w:rPr>
          <w:rFonts w:asciiTheme="minorHAnsi" w:eastAsiaTheme="minorEastAsia" w:hAnsiTheme="minorHAnsi"/>
          <w:b w:val="0"/>
          <w:noProof/>
          <w:sz w:val="22"/>
          <w:szCs w:val="20"/>
          <w:lang w:eastAsia="da-DK" w:bidi="ne-NP"/>
        </w:rPr>
      </w:pPr>
      <w:r>
        <w:rPr>
          <w:noProof/>
        </w:rPr>
        <w:t>Den sociale virkelighed</w:t>
      </w:r>
      <w:r>
        <w:rPr>
          <w:noProof/>
        </w:rPr>
        <w:tab/>
      </w:r>
      <w:r>
        <w:rPr>
          <w:noProof/>
        </w:rPr>
        <w:fldChar w:fldCharType="begin"/>
      </w:r>
      <w:r>
        <w:rPr>
          <w:noProof/>
        </w:rPr>
        <w:instrText xml:space="preserve"> PAGEREF _Toc423342677 \h </w:instrText>
      </w:r>
      <w:r>
        <w:rPr>
          <w:noProof/>
        </w:rPr>
      </w:r>
      <w:r>
        <w:rPr>
          <w:noProof/>
        </w:rPr>
        <w:fldChar w:fldCharType="separate"/>
      </w:r>
      <w:r>
        <w:rPr>
          <w:noProof/>
        </w:rPr>
        <w:t>8</w:t>
      </w:r>
      <w:r>
        <w:rPr>
          <w:noProof/>
        </w:rPr>
        <w:fldChar w:fldCharType="end"/>
      </w:r>
    </w:p>
    <w:p w:rsidR="00EB71B0" w:rsidRDefault="00EB71B0">
      <w:pPr>
        <w:pStyle w:val="Indholdsfortegnelse1"/>
        <w:tabs>
          <w:tab w:val="right" w:leader="dot" w:pos="9488"/>
        </w:tabs>
        <w:rPr>
          <w:rFonts w:asciiTheme="minorHAnsi" w:eastAsiaTheme="minorEastAsia" w:hAnsiTheme="minorHAnsi"/>
          <w:b w:val="0"/>
          <w:noProof/>
          <w:sz w:val="22"/>
          <w:szCs w:val="20"/>
          <w:lang w:eastAsia="da-DK" w:bidi="ne-NP"/>
        </w:rPr>
      </w:pPr>
      <w:r>
        <w:rPr>
          <w:noProof/>
        </w:rPr>
        <w:t>Den aktive virkelighed</w:t>
      </w:r>
      <w:r>
        <w:rPr>
          <w:noProof/>
        </w:rPr>
        <w:tab/>
      </w:r>
      <w:r>
        <w:rPr>
          <w:noProof/>
        </w:rPr>
        <w:fldChar w:fldCharType="begin"/>
      </w:r>
      <w:r>
        <w:rPr>
          <w:noProof/>
        </w:rPr>
        <w:instrText xml:space="preserve"> PAGEREF _Toc423342678 \h </w:instrText>
      </w:r>
      <w:r>
        <w:rPr>
          <w:noProof/>
        </w:rPr>
      </w:r>
      <w:r>
        <w:rPr>
          <w:noProof/>
        </w:rPr>
        <w:fldChar w:fldCharType="separate"/>
      </w:r>
      <w:r>
        <w:rPr>
          <w:noProof/>
        </w:rPr>
        <w:t>12</w:t>
      </w:r>
      <w:r>
        <w:rPr>
          <w:noProof/>
        </w:rPr>
        <w:fldChar w:fldCharType="end"/>
      </w:r>
    </w:p>
    <w:p w:rsidR="00EB71B0" w:rsidRDefault="00EB71B0">
      <w:pPr>
        <w:pStyle w:val="Indholdsfortegnelse1"/>
        <w:tabs>
          <w:tab w:val="right" w:leader="dot" w:pos="9488"/>
        </w:tabs>
        <w:rPr>
          <w:rFonts w:asciiTheme="minorHAnsi" w:eastAsiaTheme="minorEastAsia" w:hAnsiTheme="minorHAnsi"/>
          <w:b w:val="0"/>
          <w:noProof/>
          <w:sz w:val="22"/>
          <w:szCs w:val="20"/>
          <w:lang w:eastAsia="da-DK" w:bidi="ne-NP"/>
        </w:rPr>
      </w:pPr>
      <w:r>
        <w:rPr>
          <w:noProof/>
        </w:rPr>
        <w:t>Den praktiske virkelighed</w:t>
      </w:r>
      <w:r>
        <w:rPr>
          <w:noProof/>
        </w:rPr>
        <w:tab/>
      </w:r>
      <w:r>
        <w:rPr>
          <w:noProof/>
        </w:rPr>
        <w:fldChar w:fldCharType="begin"/>
      </w:r>
      <w:r>
        <w:rPr>
          <w:noProof/>
        </w:rPr>
        <w:instrText xml:space="preserve"> PAGEREF _Toc423342679 \h </w:instrText>
      </w:r>
      <w:r>
        <w:rPr>
          <w:noProof/>
        </w:rPr>
      </w:r>
      <w:r>
        <w:rPr>
          <w:noProof/>
        </w:rPr>
        <w:fldChar w:fldCharType="separate"/>
      </w:r>
      <w:r>
        <w:rPr>
          <w:noProof/>
        </w:rPr>
        <w:t>13</w:t>
      </w:r>
      <w:r>
        <w:rPr>
          <w:noProof/>
        </w:rPr>
        <w:fldChar w:fldCharType="end"/>
      </w:r>
    </w:p>
    <w:p w:rsidR="00EB71B0" w:rsidRDefault="00EB71B0">
      <w:pPr>
        <w:pStyle w:val="Indholdsfortegnelse1"/>
        <w:tabs>
          <w:tab w:val="right" w:leader="dot" w:pos="9488"/>
        </w:tabs>
        <w:rPr>
          <w:rFonts w:asciiTheme="minorHAnsi" w:eastAsiaTheme="minorEastAsia" w:hAnsiTheme="minorHAnsi"/>
          <w:b w:val="0"/>
          <w:noProof/>
          <w:sz w:val="22"/>
          <w:szCs w:val="20"/>
          <w:lang w:eastAsia="da-DK" w:bidi="ne-NP"/>
        </w:rPr>
      </w:pPr>
      <w:r>
        <w:rPr>
          <w:noProof/>
        </w:rPr>
        <w:t>Konklusion:</w:t>
      </w:r>
      <w:r>
        <w:rPr>
          <w:noProof/>
        </w:rPr>
        <w:tab/>
      </w:r>
      <w:r>
        <w:rPr>
          <w:noProof/>
        </w:rPr>
        <w:fldChar w:fldCharType="begin"/>
      </w:r>
      <w:r>
        <w:rPr>
          <w:noProof/>
        </w:rPr>
        <w:instrText xml:space="preserve"> PAGEREF _Toc423342680 \h </w:instrText>
      </w:r>
      <w:r>
        <w:rPr>
          <w:noProof/>
        </w:rPr>
      </w:r>
      <w:r>
        <w:rPr>
          <w:noProof/>
        </w:rPr>
        <w:fldChar w:fldCharType="separate"/>
      </w:r>
      <w:r>
        <w:rPr>
          <w:noProof/>
        </w:rPr>
        <w:t>16</w:t>
      </w:r>
      <w:r>
        <w:rPr>
          <w:noProof/>
        </w:rPr>
        <w:fldChar w:fldCharType="end"/>
      </w:r>
    </w:p>
    <w:p w:rsidR="00EB71B0" w:rsidRDefault="00EB71B0">
      <w:pPr>
        <w:pStyle w:val="Indholdsfortegnelse1"/>
        <w:tabs>
          <w:tab w:val="right" w:leader="dot" w:pos="9488"/>
        </w:tabs>
        <w:rPr>
          <w:rFonts w:asciiTheme="minorHAnsi" w:eastAsiaTheme="minorEastAsia" w:hAnsiTheme="minorHAnsi"/>
          <w:b w:val="0"/>
          <w:noProof/>
          <w:sz w:val="22"/>
          <w:szCs w:val="20"/>
          <w:lang w:eastAsia="da-DK" w:bidi="ne-NP"/>
        </w:rPr>
      </w:pPr>
      <w:r>
        <w:rPr>
          <w:noProof/>
        </w:rPr>
        <w:t>Ældre døvblindes virkelighed</w:t>
      </w:r>
      <w:r>
        <w:rPr>
          <w:noProof/>
        </w:rPr>
        <w:tab/>
      </w:r>
      <w:r>
        <w:rPr>
          <w:noProof/>
        </w:rPr>
        <w:fldChar w:fldCharType="begin"/>
      </w:r>
      <w:r>
        <w:rPr>
          <w:noProof/>
        </w:rPr>
        <w:instrText xml:space="preserve"> PAGEREF _Toc423342681 \h </w:instrText>
      </w:r>
      <w:r>
        <w:rPr>
          <w:noProof/>
        </w:rPr>
      </w:r>
      <w:r>
        <w:rPr>
          <w:noProof/>
        </w:rPr>
        <w:fldChar w:fldCharType="separate"/>
      </w:r>
      <w:r>
        <w:rPr>
          <w:noProof/>
        </w:rPr>
        <w:t>16</w:t>
      </w:r>
      <w:r>
        <w:rPr>
          <w:noProof/>
        </w:rPr>
        <w:fldChar w:fldCharType="end"/>
      </w:r>
    </w:p>
    <w:p w:rsidR="00EB71B0" w:rsidRDefault="00EB71B0" w:rsidP="006A6F49">
      <w:pPr>
        <w:spacing w:after="120"/>
      </w:pPr>
      <w:r>
        <w:fldChar w:fldCharType="end"/>
      </w:r>
    </w:p>
    <w:p w:rsidR="00EB71B0" w:rsidRDefault="00EB71B0" w:rsidP="006A6F49">
      <w:pPr>
        <w:spacing w:after="120"/>
      </w:pPr>
    </w:p>
    <w:p w:rsidR="00455682" w:rsidRDefault="003379F3" w:rsidP="006A6F49">
      <w:pPr>
        <w:pStyle w:val="Overskrift1"/>
        <w:spacing w:before="0" w:after="120"/>
      </w:pPr>
      <w:bookmarkStart w:id="3" w:name="_Toc419188680"/>
      <w:bookmarkStart w:id="4" w:name="_Toc422473999"/>
      <w:bookmarkStart w:id="5" w:name="_Toc423342672"/>
      <w:r w:rsidRPr="003379F3">
        <w:lastRenderedPageBreak/>
        <w:t>Indledning</w:t>
      </w:r>
      <w:bookmarkEnd w:id="3"/>
      <w:bookmarkEnd w:id="4"/>
      <w:bookmarkEnd w:id="5"/>
      <w:r w:rsidR="00455682" w:rsidRPr="00455682">
        <w:t xml:space="preserve"> </w:t>
      </w:r>
    </w:p>
    <w:p w:rsidR="0071294D" w:rsidRDefault="00A00002" w:rsidP="00790B65">
      <w:r>
        <w:t xml:space="preserve">Vi ved, at </w:t>
      </w:r>
      <w:r w:rsidR="00455682">
        <w:t>ældre døvblind</w:t>
      </w:r>
      <w:r w:rsidR="00517D0B">
        <w:t>e</w:t>
      </w:r>
      <w:r w:rsidR="00455682">
        <w:t xml:space="preserve"> </w:t>
      </w:r>
      <w:r>
        <w:t xml:space="preserve">har høj risiko for at </w:t>
      </w:r>
      <w:r w:rsidR="00455682">
        <w:t xml:space="preserve">leve ensomt og isoleret i det samfund, vi har i dag. </w:t>
      </w:r>
      <w:r w:rsidR="0071294D">
        <w:t xml:space="preserve">Med den hastige udvikling af teknologi og digitalisering </w:t>
      </w:r>
      <w:r w:rsidR="00605301">
        <w:t>er</w:t>
      </w:r>
      <w:r w:rsidR="0071294D">
        <w:t xml:space="preserve"> </w:t>
      </w:r>
      <w:r w:rsidR="00605301">
        <w:t>m</w:t>
      </w:r>
      <w:r w:rsidR="0071294D">
        <w:t>ange døvblinde – især ældre –</w:t>
      </w:r>
      <w:r w:rsidR="00605301">
        <w:t xml:space="preserve"> </w:t>
      </w:r>
      <w:r w:rsidR="0071294D">
        <w:t xml:space="preserve">i risiko for at blive hægtet </w:t>
      </w:r>
      <w:r w:rsidR="00605301">
        <w:t xml:space="preserve">helt </w:t>
      </w:r>
      <w:r w:rsidR="0071294D">
        <w:t xml:space="preserve">af. Men præcis </w:t>
      </w:r>
      <w:r w:rsidR="00B82D36">
        <w:t xml:space="preserve">hvordan </w:t>
      </w:r>
      <w:r w:rsidR="0071294D">
        <w:t>hverdagen opleves blandt ældre døvblinde er der ikke lavet undersøgelse af fø</w:t>
      </w:r>
      <w:bookmarkStart w:id="6" w:name="_GoBack"/>
      <w:bookmarkEnd w:id="6"/>
      <w:r w:rsidR="0071294D">
        <w:t xml:space="preserve">r nu. </w:t>
      </w:r>
    </w:p>
    <w:p w:rsidR="00F41F2D" w:rsidRDefault="00CA18AA" w:rsidP="00790B65">
      <w:r>
        <w:t xml:space="preserve">Ældreudvalget i FDDB </w:t>
      </w:r>
      <w:r w:rsidR="00B82D36">
        <w:t>har derfor besluttet</w:t>
      </w:r>
      <w:r>
        <w:t xml:space="preserve"> sig for at finde ud af</w:t>
      </w:r>
      <w:r w:rsidR="00F41F2D">
        <w:t>,</w:t>
      </w:r>
      <w:r>
        <w:t xml:space="preserve"> hvordan det står til </w:t>
      </w:r>
      <w:r w:rsidR="00B82D36">
        <w:t xml:space="preserve">med trivslen </w:t>
      </w:r>
      <w:r>
        <w:t>blandt ældre døvblinde</w:t>
      </w:r>
      <w:r w:rsidR="00F41F2D">
        <w:t xml:space="preserve"> over 60 år</w:t>
      </w:r>
      <w:r>
        <w:t xml:space="preserve">, og </w:t>
      </w:r>
      <w:r w:rsidR="00B82D36">
        <w:t xml:space="preserve">finde frem til </w:t>
      </w:r>
      <w:r>
        <w:t xml:space="preserve">hvilke </w:t>
      </w:r>
      <w:r w:rsidR="00B13997">
        <w:t>elementer</w:t>
      </w:r>
      <w:r>
        <w:t>,</w:t>
      </w:r>
      <w:r w:rsidR="00B13997">
        <w:t xml:space="preserve"> </w:t>
      </w:r>
      <w:r w:rsidR="00F41F2D">
        <w:t>der</w:t>
      </w:r>
      <w:r w:rsidR="00B13997">
        <w:t xml:space="preserve"> har</w:t>
      </w:r>
      <w:r w:rsidR="003F552E">
        <w:t xml:space="preserve"> betydning i ældre døvblindes liv. </w:t>
      </w:r>
    </w:p>
    <w:p w:rsidR="00790B65" w:rsidRDefault="00790B65" w:rsidP="00790B65">
      <w:bookmarkStart w:id="7" w:name="_Toc422474000"/>
    </w:p>
    <w:p w:rsidR="00B82D36" w:rsidRDefault="00B82D36" w:rsidP="006A6F49">
      <w:pPr>
        <w:pStyle w:val="Overskrift1"/>
        <w:spacing w:before="0" w:after="120"/>
      </w:pPr>
      <w:bookmarkStart w:id="8" w:name="_Toc423342673"/>
      <w:r>
        <w:t>Baggrund</w:t>
      </w:r>
      <w:bookmarkEnd w:id="7"/>
      <w:bookmarkEnd w:id="8"/>
    </w:p>
    <w:p w:rsidR="000E5082" w:rsidRDefault="000E5082" w:rsidP="006A6F49">
      <w:pPr>
        <w:spacing w:after="120"/>
      </w:pPr>
      <w:r>
        <w:t xml:space="preserve">Ifølge psykolog og ph.d. Jesper </w:t>
      </w:r>
      <w:proofErr w:type="spellStart"/>
      <w:r>
        <w:t>Dammeyer</w:t>
      </w:r>
      <w:proofErr w:type="spellEnd"/>
      <w:r>
        <w:t xml:space="preserve"> har over </w:t>
      </w:r>
      <w:proofErr w:type="gramStart"/>
      <w:r>
        <w:t>30%</w:t>
      </w:r>
      <w:proofErr w:type="gramEnd"/>
      <w:r>
        <w:t xml:space="preserve"> af alle personer over 80 år en form for sansetab på både syn og hørelse (Kilde: </w:t>
      </w:r>
      <w:proofErr w:type="spellStart"/>
      <w:r>
        <w:t>Dammeyer</w:t>
      </w:r>
      <w:proofErr w:type="spellEnd"/>
      <w:r>
        <w:t xml:space="preserve">, 2015). Det er det, vi i FDDB kalder et aldersbetinget progredierende sansetab. Mange klarer det med kompenserende udstyr som almindelige briller, men når man begynder at få behov for høreapparater, og almindelige briller ikke længere gør orientering mulig, lever mange som funktionelt døvblinde, dvs. med risiko for isolation og ensomhed som følge. </w:t>
      </w:r>
    </w:p>
    <w:p w:rsidR="00F41F2D" w:rsidRDefault="000E5082" w:rsidP="006A6F49">
      <w:pPr>
        <w:spacing w:after="120"/>
      </w:pPr>
      <w:r>
        <w:lastRenderedPageBreak/>
        <w:t xml:space="preserve">Kigger man på tallene for befolkningstilvæksten, er </w:t>
      </w:r>
      <w:r w:rsidR="00F41F2D">
        <w:t xml:space="preserve">Danmarks befolkning vokset med ca. 400.000 personer over de sidste 20 år. Væksten har været størst for befolkningen over 65 år (kilde: Ældresagen). </w:t>
      </w:r>
      <w:r w:rsidR="003F552E">
        <w:t xml:space="preserve">I takt med at </w:t>
      </w:r>
      <w:r w:rsidR="00F41F2D">
        <w:t xml:space="preserve">befolkningens gennemsnitsalder øges, og </w:t>
      </w:r>
      <w:r w:rsidR="003F552E">
        <w:t xml:space="preserve">vi alle </w:t>
      </w:r>
      <w:r w:rsidR="00F41F2D">
        <w:t xml:space="preserve">vil opnå en gennemsnitlig længere levetid, </w:t>
      </w:r>
      <w:r w:rsidR="003F552E">
        <w:t xml:space="preserve">vil der med tiden </w:t>
      </w:r>
      <w:r w:rsidR="00F41F2D">
        <w:t xml:space="preserve">også </w:t>
      </w:r>
      <w:r w:rsidR="003F552E">
        <w:t xml:space="preserve">blive flere ældre døvblinde. </w:t>
      </w:r>
    </w:p>
    <w:p w:rsidR="00F73B31" w:rsidRDefault="00F73B31" w:rsidP="006A6F49">
      <w:pPr>
        <w:spacing w:after="120"/>
      </w:pPr>
      <w:r w:rsidRPr="00F73B31">
        <w:rPr>
          <w:iCs/>
        </w:rPr>
        <w:t xml:space="preserve">I FDDB </w:t>
      </w:r>
      <w:r>
        <w:rPr>
          <w:iCs/>
        </w:rPr>
        <w:t>er der 455 medlemmer, hvor</w:t>
      </w:r>
      <w:r w:rsidRPr="00F73B31">
        <w:rPr>
          <w:iCs/>
        </w:rPr>
        <w:t>af 342 er 60</w:t>
      </w:r>
      <w:r>
        <w:rPr>
          <w:iCs/>
        </w:rPr>
        <w:t xml:space="preserve"> år</w:t>
      </w:r>
      <w:r w:rsidRPr="00F73B31">
        <w:rPr>
          <w:iCs/>
        </w:rPr>
        <w:t xml:space="preserve"> og derover</w:t>
      </w:r>
      <w:r>
        <w:rPr>
          <w:iCs/>
        </w:rPr>
        <w:t>.</w:t>
      </w:r>
      <w:r w:rsidRPr="00F73B31">
        <w:t xml:space="preserve"> </w:t>
      </w:r>
      <w:r>
        <w:t xml:space="preserve">Derfor er der brug for, at vi får øget kendskab til denne gruppe. Kun ved at kende deres behov kan vi som organisation forbedre livsvilkårene for disse medlemmer. </w:t>
      </w:r>
    </w:p>
    <w:p w:rsidR="00F73DF4" w:rsidRDefault="00F73DF4" w:rsidP="006A6F49">
      <w:pPr>
        <w:pStyle w:val="Overskrift1"/>
        <w:spacing w:before="0" w:after="120"/>
      </w:pPr>
      <w:bookmarkStart w:id="9" w:name="_Toc422474001"/>
      <w:r>
        <w:br w:type="page"/>
      </w:r>
    </w:p>
    <w:p w:rsidR="00D02C37" w:rsidRDefault="00D02C37" w:rsidP="006A6F49">
      <w:pPr>
        <w:pStyle w:val="Overskrift1"/>
        <w:spacing w:before="0" w:after="120"/>
      </w:pPr>
      <w:bookmarkStart w:id="10" w:name="_Toc423342674"/>
      <w:r>
        <w:lastRenderedPageBreak/>
        <w:t>Deltagerne i undersøgelsen</w:t>
      </w:r>
      <w:bookmarkEnd w:id="9"/>
      <w:bookmarkEnd w:id="10"/>
    </w:p>
    <w:p w:rsidR="00D02C37" w:rsidRDefault="0021767D" w:rsidP="006A6F49">
      <w:pPr>
        <w:spacing w:after="120"/>
      </w:pPr>
      <w:r>
        <w:t xml:space="preserve">Deltagerne i undersøgelsen er alle over 60 år, døvblinde og medlemmer af FDDB. De er aktive i en lokal </w:t>
      </w:r>
      <w:proofErr w:type="spellStart"/>
      <w:r>
        <w:t>erfagruppe</w:t>
      </w:r>
      <w:proofErr w:type="spellEnd"/>
      <w:r>
        <w:t xml:space="preserve">, hvilket viser, at de </w:t>
      </w:r>
      <w:r w:rsidR="00D02C37">
        <w:t xml:space="preserve">trods sansetabet </w:t>
      </w:r>
      <w:r>
        <w:t xml:space="preserve">er mobile og i stand til at møde op til et månedligt </w:t>
      </w:r>
      <w:r w:rsidR="00D02C37">
        <w:t xml:space="preserve">møde (mange ved hjælp af </w:t>
      </w:r>
      <w:proofErr w:type="spellStart"/>
      <w:r w:rsidR="00D02C37">
        <w:t>taxa</w:t>
      </w:r>
      <w:r>
        <w:t>-kørsel</w:t>
      </w:r>
      <w:proofErr w:type="spellEnd"/>
      <w:r>
        <w:t xml:space="preserve">, der arrangeres af </w:t>
      </w:r>
      <w:proofErr w:type="spellStart"/>
      <w:r>
        <w:t>erfalederen</w:t>
      </w:r>
      <w:proofErr w:type="spellEnd"/>
      <w:r>
        <w:t xml:space="preserve">). </w:t>
      </w:r>
    </w:p>
    <w:p w:rsidR="0021767D" w:rsidRDefault="0021767D" w:rsidP="006A6F49">
      <w:pPr>
        <w:spacing w:after="120"/>
      </w:pPr>
      <w:r>
        <w:t xml:space="preserve">Det er kun ca. halvdelen af FDDBs medlemmer, der er tilknyttet en </w:t>
      </w:r>
      <w:proofErr w:type="spellStart"/>
      <w:r>
        <w:t>erfagruppe</w:t>
      </w:r>
      <w:proofErr w:type="spellEnd"/>
      <w:r>
        <w:t xml:space="preserve">. Resten </w:t>
      </w:r>
      <w:r w:rsidR="00D02C37">
        <w:t xml:space="preserve">af medlemmerne kommer ikke, og vi </w:t>
      </w:r>
      <w:r>
        <w:t xml:space="preserve">ved, at rigtig mange af de ældre, der ikke kommer i </w:t>
      </w:r>
      <w:proofErr w:type="spellStart"/>
      <w:r>
        <w:t>erfagrupperne</w:t>
      </w:r>
      <w:proofErr w:type="spellEnd"/>
      <w:r>
        <w:t>, netop ikke</w:t>
      </w:r>
      <w:r w:rsidR="00D02C37">
        <w:t xml:space="preserve"> </w:t>
      </w:r>
      <w:r>
        <w:t xml:space="preserve">orker, ikke har mobilitet til det eller ikke har ledsagehjælp til at komme frem. </w:t>
      </w:r>
    </w:p>
    <w:p w:rsidR="00833E58" w:rsidRDefault="00833E58" w:rsidP="006A6F49">
      <w:pPr>
        <w:spacing w:after="120"/>
      </w:pPr>
      <w:r>
        <w:t xml:space="preserve">Det er derfor vanskeligt at få deres vurdering med i en undersøgelse, selvom det ville være ønskeligt at finde frem til, hvordan vi kunne øge </w:t>
      </w:r>
      <w:r w:rsidR="00F73B31">
        <w:t>livskvaliteten</w:t>
      </w:r>
      <w:r>
        <w:t xml:space="preserve"> for </w:t>
      </w:r>
      <w:r w:rsidR="00D02C37">
        <w:t xml:space="preserve">netop </w:t>
      </w:r>
      <w:r>
        <w:t xml:space="preserve">de </w:t>
      </w:r>
      <w:r w:rsidR="00D02C37">
        <w:t xml:space="preserve">allermest </w:t>
      </w:r>
      <w:r>
        <w:t>udsatte ældre døvblinde.</w:t>
      </w:r>
    </w:p>
    <w:p w:rsidR="00AC6B76" w:rsidRDefault="00AC6B76" w:rsidP="006A6F49">
      <w:pPr>
        <w:pStyle w:val="Overskrift1"/>
        <w:spacing w:before="0" w:after="120"/>
      </w:pPr>
      <w:bookmarkStart w:id="11" w:name="_Toc419188682"/>
    </w:p>
    <w:p w:rsidR="00455682" w:rsidRDefault="00DD33F2" w:rsidP="006A6F49">
      <w:pPr>
        <w:pStyle w:val="Overskrift1"/>
        <w:spacing w:before="0" w:after="120"/>
      </w:pPr>
      <w:bookmarkStart w:id="12" w:name="_Toc422474002"/>
      <w:bookmarkStart w:id="13" w:name="_Toc423342675"/>
      <w:r>
        <w:t>Metode</w:t>
      </w:r>
      <w:bookmarkEnd w:id="11"/>
      <w:bookmarkEnd w:id="12"/>
      <w:bookmarkEnd w:id="13"/>
      <w:r w:rsidR="00455682" w:rsidRPr="00455682">
        <w:t xml:space="preserve"> </w:t>
      </w:r>
    </w:p>
    <w:p w:rsidR="004349D9" w:rsidRDefault="00906DA8" w:rsidP="006A6F49">
      <w:pPr>
        <w:spacing w:after="120"/>
      </w:pPr>
      <w:r>
        <w:t>I alt deltog 109 personer i trivselsanalysen</w:t>
      </w:r>
      <w:r w:rsidRPr="00906DA8">
        <w:t xml:space="preserve"> </w:t>
      </w:r>
      <w:r>
        <w:t>for døvblinde over 60 år. Heraf var 9</w:t>
      </w:r>
      <w:r w:rsidR="004349D9">
        <w:t>6 talebrugere</w:t>
      </w:r>
      <w:r>
        <w:t xml:space="preserve"> og </w:t>
      </w:r>
      <w:r w:rsidR="004349D9">
        <w:t xml:space="preserve">13 tegnsprogsbrugere. </w:t>
      </w:r>
    </w:p>
    <w:p w:rsidR="00906DA8" w:rsidRDefault="00906DA8" w:rsidP="006A6F49">
      <w:pPr>
        <w:spacing w:after="120"/>
      </w:pPr>
      <w:r>
        <w:t xml:space="preserve">Undersøgelsen blev foretaget som et </w:t>
      </w:r>
      <w:r w:rsidR="00455682">
        <w:t>spørgeskem</w:t>
      </w:r>
      <w:r w:rsidR="00B91D98">
        <w:t xml:space="preserve">a med i alt 14 </w:t>
      </w:r>
      <w:r w:rsidR="00833E58">
        <w:t>udsagn</w:t>
      </w:r>
      <w:r w:rsidR="00B91D98">
        <w:t xml:space="preserve">. Hvert </w:t>
      </w:r>
      <w:r w:rsidR="00833E58">
        <w:t>udsagn</w:t>
      </w:r>
      <w:r w:rsidR="00B91D98">
        <w:t xml:space="preserve"> </w:t>
      </w:r>
      <w:r w:rsidR="00833E58">
        <w:t>havde</w:t>
      </w:r>
      <w:r w:rsidR="00B91D98">
        <w:t xml:space="preserve"> </w:t>
      </w:r>
      <w:r w:rsidR="00333BB7">
        <w:t>tre</w:t>
      </w:r>
      <w:r w:rsidR="00B91D98">
        <w:t xml:space="preserve"> </w:t>
      </w:r>
      <w:r w:rsidR="00833E58">
        <w:t xml:space="preserve">forskellige </w:t>
      </w:r>
      <w:r w:rsidR="00B91D98">
        <w:lastRenderedPageBreak/>
        <w:t>svarmulighed</w:t>
      </w:r>
      <w:r>
        <w:t>er. Deltagerne skulle</w:t>
      </w:r>
      <w:r w:rsidR="00B91D98">
        <w:t xml:space="preserve"> vælge det svar</w:t>
      </w:r>
      <w:r>
        <w:t xml:space="preserve">, som passede </w:t>
      </w:r>
      <w:r w:rsidR="00455682">
        <w:t xml:space="preserve">bedst til </w:t>
      </w:r>
      <w:r>
        <w:t>deres situation</w:t>
      </w:r>
      <w:r w:rsidR="00455682">
        <w:t>.</w:t>
      </w:r>
    </w:p>
    <w:p w:rsidR="00906DA8" w:rsidRDefault="00B91D98" w:rsidP="006A6F49">
      <w:pPr>
        <w:spacing w:after="120"/>
      </w:pPr>
      <w:r>
        <w:t xml:space="preserve">Spørgsmålene </w:t>
      </w:r>
      <w:r w:rsidR="00906DA8">
        <w:t>var inddelt i seks</w:t>
      </w:r>
      <w:r>
        <w:t xml:space="preserve"> emner</w:t>
      </w:r>
      <w:r w:rsidR="00906DA8">
        <w:t>:</w:t>
      </w:r>
    </w:p>
    <w:p w:rsidR="00906DA8" w:rsidRDefault="00B91D98" w:rsidP="006A6F49">
      <w:pPr>
        <w:pStyle w:val="Listeafsnit"/>
        <w:numPr>
          <w:ilvl w:val="0"/>
          <w:numId w:val="2"/>
        </w:numPr>
        <w:spacing w:after="120"/>
      </w:pPr>
      <w:r>
        <w:t>It &amp; digitalisering</w:t>
      </w:r>
    </w:p>
    <w:p w:rsidR="00906DA8" w:rsidRDefault="00B91D98" w:rsidP="006A6F49">
      <w:pPr>
        <w:pStyle w:val="Listeafsnit"/>
        <w:numPr>
          <w:ilvl w:val="0"/>
          <w:numId w:val="2"/>
        </w:numPr>
        <w:spacing w:after="120"/>
      </w:pPr>
      <w:r>
        <w:t>Kommunikation</w:t>
      </w:r>
    </w:p>
    <w:p w:rsidR="00906DA8" w:rsidRDefault="00906DA8" w:rsidP="006A6F49">
      <w:pPr>
        <w:pStyle w:val="Listeafsnit"/>
        <w:numPr>
          <w:ilvl w:val="0"/>
          <w:numId w:val="2"/>
        </w:numPr>
        <w:spacing w:after="120"/>
      </w:pPr>
      <w:r>
        <w:t>Socialt n</w:t>
      </w:r>
      <w:r w:rsidR="00B91D98">
        <w:t>etværk</w:t>
      </w:r>
    </w:p>
    <w:p w:rsidR="00906DA8" w:rsidRDefault="00B91D98" w:rsidP="006A6F49">
      <w:pPr>
        <w:pStyle w:val="Listeafsnit"/>
        <w:numPr>
          <w:ilvl w:val="0"/>
          <w:numId w:val="2"/>
        </w:numPr>
        <w:spacing w:after="120"/>
      </w:pPr>
      <w:r>
        <w:t>Følelsesmæssigt</w:t>
      </w:r>
    </w:p>
    <w:p w:rsidR="00906DA8" w:rsidRDefault="00B91D98" w:rsidP="006A6F49">
      <w:pPr>
        <w:pStyle w:val="Listeafsnit"/>
        <w:numPr>
          <w:ilvl w:val="0"/>
          <w:numId w:val="2"/>
        </w:numPr>
        <w:spacing w:after="120"/>
      </w:pPr>
      <w:r>
        <w:t>Livs</w:t>
      </w:r>
      <w:r w:rsidR="00240A59">
        <w:t>s</w:t>
      </w:r>
      <w:r>
        <w:t>til &amp; aktivitetsniveau</w:t>
      </w:r>
    </w:p>
    <w:p w:rsidR="00B91D98" w:rsidRDefault="00B91D98" w:rsidP="006A6F49">
      <w:pPr>
        <w:pStyle w:val="Listeafsnit"/>
        <w:numPr>
          <w:ilvl w:val="0"/>
          <w:numId w:val="2"/>
        </w:numPr>
        <w:spacing w:after="120"/>
      </w:pPr>
      <w:r>
        <w:t>Praktisk</w:t>
      </w:r>
    </w:p>
    <w:p w:rsidR="00C01EAD" w:rsidRDefault="00906DA8" w:rsidP="006A6F49">
      <w:pPr>
        <w:spacing w:after="120"/>
      </w:pPr>
      <w:r>
        <w:t>De tre svar-</w:t>
      </w:r>
      <w:r w:rsidR="004349D9">
        <w:t xml:space="preserve">muligheder i hvert spørgsmål </w:t>
      </w:r>
      <w:r>
        <w:t>var</w:t>
      </w:r>
      <w:r w:rsidR="004349D9">
        <w:t xml:space="preserve"> formuleret som </w:t>
      </w:r>
      <w:r>
        <w:t xml:space="preserve">konkrete </w:t>
      </w:r>
      <w:r w:rsidR="004349D9">
        <w:t xml:space="preserve">udsagn. Det </w:t>
      </w:r>
      <w:r>
        <w:t>havde</w:t>
      </w:r>
      <w:r w:rsidR="004349D9">
        <w:t xml:space="preserve"> den fordel</w:t>
      </w:r>
      <w:r>
        <w:t>,</w:t>
      </w:r>
      <w:r w:rsidR="004349D9">
        <w:t xml:space="preserve"> at </w:t>
      </w:r>
      <w:r>
        <w:t>svarene blev sammenlignelige og lettere at kategorisere</w:t>
      </w:r>
      <w:r w:rsidR="004349D9">
        <w:t xml:space="preserve">. </w:t>
      </w:r>
      <w:r w:rsidR="00C01EAD">
        <w:t xml:space="preserve">Samtidig kunne det hjælpe deltagerne med en konkret formulering i tilfælde af, at det var svært selv at formulere en beskrivende sætning.  </w:t>
      </w:r>
      <w:r w:rsidR="004349D9">
        <w:t>Ulempe</w:t>
      </w:r>
      <w:r>
        <w:t>rne</w:t>
      </w:r>
      <w:r w:rsidR="004349D9">
        <w:t xml:space="preserve"> </w:t>
      </w:r>
      <w:r>
        <w:t xml:space="preserve">ved denne metode er, at deltagerne af og til ikke kan genkende sig </w:t>
      </w:r>
      <w:r w:rsidR="004349D9">
        <w:t>selv i nogle af svarmulighederne</w:t>
      </w:r>
      <w:r>
        <w:t>,</w:t>
      </w:r>
      <w:r w:rsidR="004349D9">
        <w:t xml:space="preserve"> eller at flere af mulighederne</w:t>
      </w:r>
      <w:r>
        <w:t xml:space="preserve"> kan </w:t>
      </w:r>
      <w:r w:rsidR="00833E58">
        <w:t>være genkendelig</w:t>
      </w:r>
      <w:r w:rsidR="00605301">
        <w:t>e</w:t>
      </w:r>
      <w:r w:rsidR="00833E58">
        <w:t xml:space="preserve"> for</w:t>
      </w:r>
      <w:r>
        <w:t xml:space="preserve"> deres situation</w:t>
      </w:r>
      <w:r w:rsidR="004349D9">
        <w:t xml:space="preserve">. </w:t>
      </w:r>
      <w:r w:rsidR="00C01EAD">
        <w:t xml:space="preserve">Det betyder, at der under enkelte spørgsmål i undersøgelsen er lidt færre end 109 svar, mens der andre steder er flere end 109. </w:t>
      </w:r>
    </w:p>
    <w:p w:rsidR="00C01EAD" w:rsidRDefault="00C01EAD" w:rsidP="006A6F49">
      <w:pPr>
        <w:spacing w:after="120"/>
      </w:pPr>
      <w:r>
        <w:t xml:space="preserve">Der er også en risiko for, at selv det nærmeste svar ikke beskriver den reelle situation præcist nok, og dermed er der risiko for, at man vælger et svar, der ikke er retvisende. </w:t>
      </w:r>
    </w:p>
    <w:p w:rsidR="00C01EAD" w:rsidRDefault="00F474F9" w:rsidP="006A6F49">
      <w:pPr>
        <w:spacing w:after="120"/>
      </w:pPr>
      <w:r>
        <w:lastRenderedPageBreak/>
        <w:t>I ef</w:t>
      </w:r>
      <w:r w:rsidR="00C01EAD">
        <w:t xml:space="preserve">terfølgende </w:t>
      </w:r>
      <w:r>
        <w:t xml:space="preserve">mundtlige </w:t>
      </w:r>
      <w:r w:rsidR="00C01EAD">
        <w:t xml:space="preserve">evalueringer af spørgeskemaet </w:t>
      </w:r>
      <w:r>
        <w:t>fortalte deltagerne</w:t>
      </w:r>
      <w:r w:rsidR="00C01EAD">
        <w:t xml:space="preserve"> dog, at de</w:t>
      </w:r>
      <w:r>
        <w:t xml:space="preserve"> </w:t>
      </w:r>
      <w:r w:rsidR="00C01EAD">
        <w:t xml:space="preserve">generelt fandt svarmulighederne meget beskrivende for deres situation. </w:t>
      </w:r>
    </w:p>
    <w:p w:rsidR="00C01EAD" w:rsidRDefault="00F474F9" w:rsidP="006A6F49">
      <w:pPr>
        <w:spacing w:after="120"/>
      </w:pPr>
      <w:r>
        <w:t>D</w:t>
      </w:r>
      <w:r w:rsidR="00C01EAD">
        <w:t xml:space="preserve">øvblindhed er et handicap, som </w:t>
      </w:r>
      <w:r>
        <w:t xml:space="preserve">bl.a. </w:t>
      </w:r>
      <w:r w:rsidR="00C01EAD">
        <w:t>begrænser mulighederne for kommunikation</w:t>
      </w:r>
      <w:r>
        <w:t>. Det er for mange døvblind</w:t>
      </w:r>
      <w:r w:rsidR="0043789F">
        <w:t>e</w:t>
      </w:r>
      <w:r>
        <w:t xml:space="preserve"> vanskeligt at udfylde et </w:t>
      </w:r>
      <w:r w:rsidR="00C01EAD">
        <w:t>spørgeskema</w:t>
      </w:r>
      <w:r>
        <w:t xml:space="preserve"> på egen hånd. Derfor blev </w:t>
      </w:r>
      <w:r w:rsidR="00C01EAD">
        <w:t xml:space="preserve">spørgsmålene gennemgået mundtligt </w:t>
      </w:r>
      <w:r w:rsidR="0043789F">
        <w:t xml:space="preserve">i samtlige af landets </w:t>
      </w:r>
      <w:r w:rsidR="00333BB7">
        <w:t>18</w:t>
      </w:r>
      <w:r w:rsidR="00D02C37">
        <w:t xml:space="preserve"> </w:t>
      </w:r>
      <w:proofErr w:type="spellStart"/>
      <w:r>
        <w:t>erfa</w:t>
      </w:r>
      <w:r w:rsidR="0043789F">
        <w:t>grupper</w:t>
      </w:r>
      <w:proofErr w:type="spellEnd"/>
      <w:r w:rsidR="0043789F">
        <w:t xml:space="preserve">, </w:t>
      </w:r>
      <w:r w:rsidR="0043789F" w:rsidRPr="00F73B31">
        <w:t xml:space="preserve">hvor </w:t>
      </w:r>
      <w:r w:rsidR="00046981">
        <w:t xml:space="preserve">ca. </w:t>
      </w:r>
      <w:proofErr w:type="gramStart"/>
      <w:r w:rsidR="00046981">
        <w:t>50</w:t>
      </w:r>
      <w:r w:rsidRPr="00F73B31">
        <w:t>%</w:t>
      </w:r>
      <w:proofErr w:type="gramEnd"/>
      <w:r w:rsidRPr="00F73B31">
        <w:t xml:space="preserve"> af FDDBs</w:t>
      </w:r>
      <w:r>
        <w:t xml:space="preserve"> medlemmer deltager i</w:t>
      </w:r>
      <w:r w:rsidR="0043789F">
        <w:t xml:space="preserve"> månedlige møder for at erfaringsudveksle og hygge sig i selskab med andre, der også </w:t>
      </w:r>
      <w:r w:rsidR="00D02C37">
        <w:t>har</w:t>
      </w:r>
      <w:r w:rsidR="0043789F">
        <w:t xml:space="preserve"> med syns- og hørenedsættelser. </w:t>
      </w:r>
      <w:r>
        <w:t xml:space="preserve"> </w:t>
      </w:r>
    </w:p>
    <w:p w:rsidR="00D33A0A" w:rsidRDefault="003E12A6" w:rsidP="006A6F49">
      <w:pPr>
        <w:spacing w:after="120"/>
      </w:pPr>
      <w:r>
        <w:t>Der var delvis an</w:t>
      </w:r>
      <w:r w:rsidR="004F0FFF">
        <w:t>onymitet i undersøgelsen</w:t>
      </w:r>
      <w:r>
        <w:t xml:space="preserve">, idet </w:t>
      </w:r>
      <w:proofErr w:type="spellStart"/>
      <w:r>
        <w:t>e</w:t>
      </w:r>
      <w:r w:rsidR="004F0FFF">
        <w:t>rfalederen</w:t>
      </w:r>
      <w:proofErr w:type="spellEnd"/>
      <w:r w:rsidR="004F0FFF">
        <w:t xml:space="preserve"> </w:t>
      </w:r>
      <w:r w:rsidR="00D33A0A">
        <w:t>noterede antal svar</w:t>
      </w:r>
      <w:r w:rsidR="004F0FFF">
        <w:t xml:space="preserve"> </w:t>
      </w:r>
      <w:r>
        <w:t xml:space="preserve">fra gruppen </w:t>
      </w:r>
      <w:r w:rsidR="00D33A0A">
        <w:t xml:space="preserve">ved hver svarmulighed, men ikke noterede hvem der rakte hånden op ved </w:t>
      </w:r>
      <w:r>
        <w:t>de forskellige svarmuligheder</w:t>
      </w:r>
      <w:r w:rsidR="00D33A0A">
        <w:t xml:space="preserve">. Dermed kom gruppens svar til at indgå som et samlet antal svar i undersøgelsen. Det kan dog godt have påvirket undersøgelsens resultater, at svarene blev indsamlet ved håndsoprækning, idet nogle af spørgsmålene berører </w:t>
      </w:r>
      <w:proofErr w:type="spellStart"/>
      <w:r w:rsidR="00D33A0A">
        <w:t>tabu-belagte</w:t>
      </w:r>
      <w:proofErr w:type="spellEnd"/>
      <w:r w:rsidR="00D33A0A">
        <w:t xml:space="preserve"> emner som ensomhed, som det kan være svært at erkende åbent. Det er dog ældreudvalgets vurdering, at svarene er anvendelige, da </w:t>
      </w:r>
      <w:proofErr w:type="spellStart"/>
      <w:r w:rsidR="00D33A0A">
        <w:t>erfagrupperne</w:t>
      </w:r>
      <w:proofErr w:type="spellEnd"/>
      <w:r w:rsidR="00D33A0A">
        <w:t xml:space="preserve"> netop er et forum, hvor døvblinde / synshørehæmmede kan lufte både svære og lette emner fra hverdagen og få støtte fra hinanden. </w:t>
      </w:r>
    </w:p>
    <w:p w:rsidR="00C01EAD" w:rsidRDefault="00C01EAD" w:rsidP="006A6F49">
      <w:pPr>
        <w:spacing w:after="120"/>
      </w:pPr>
    </w:p>
    <w:p w:rsidR="003379F3" w:rsidRPr="00B13997" w:rsidRDefault="003379F3" w:rsidP="006A6F49">
      <w:pPr>
        <w:pStyle w:val="Overskrift1"/>
        <w:spacing w:before="0" w:after="120"/>
      </w:pPr>
      <w:bookmarkStart w:id="14" w:name="_Toc419188683"/>
      <w:bookmarkStart w:id="15" w:name="_Toc422474003"/>
      <w:bookmarkStart w:id="16" w:name="_Toc423342676"/>
      <w:r w:rsidRPr="003379F3">
        <w:lastRenderedPageBreak/>
        <w:t>Den digitale virkelighed</w:t>
      </w:r>
      <w:bookmarkEnd w:id="14"/>
      <w:bookmarkEnd w:id="15"/>
      <w:bookmarkEnd w:id="16"/>
      <w:r w:rsidR="00B13997">
        <w:t xml:space="preserve"> </w:t>
      </w:r>
    </w:p>
    <w:p w:rsidR="00605301" w:rsidRDefault="00B73BD9" w:rsidP="00B73BD9">
      <w:pPr>
        <w:spacing w:after="120"/>
      </w:pPr>
      <w:r>
        <w:t xml:space="preserve">De digitale løsninger fylder mere og mere i hverdagen, og der er megen snak om, at ældre bliver hægtet af. Hvordan er det så både at være ældre og døvblind? </w:t>
      </w:r>
    </w:p>
    <w:p w:rsidR="00B73BD9" w:rsidRDefault="00B73BD9" w:rsidP="00B73BD9">
      <w:pPr>
        <w:spacing w:after="120"/>
      </w:pPr>
      <w:r>
        <w:t>I denne undersøgelse skelnede vi imellem at kunne benytte sig af mail og internet</w:t>
      </w:r>
      <w:r w:rsidR="00333BB7">
        <w:t>,</w:t>
      </w:r>
      <w:r>
        <w:t xml:space="preserve"> og at kunne benytte sig af de nyere digitale løsninger som fx </w:t>
      </w:r>
      <w:r w:rsidR="00333BB7">
        <w:t>NemID, Net</w:t>
      </w:r>
      <w:r>
        <w:t xml:space="preserve">bank og </w:t>
      </w:r>
      <w:r w:rsidR="00333BB7">
        <w:t>e-Boks</w:t>
      </w:r>
      <w:r>
        <w:t xml:space="preserve">. Det er muligt at få lavet individuelle opsætninger til mail og internet, så hver enkelt bedre </w:t>
      </w:r>
      <w:r w:rsidR="00333BB7">
        <w:t xml:space="preserve">kan </w:t>
      </w:r>
      <w:r>
        <w:t xml:space="preserve">benytte det trods nedsat syn og hørelse. De muligheder er der ikke </w:t>
      </w:r>
      <w:r w:rsidR="00333BB7">
        <w:t>i</w:t>
      </w:r>
      <w:r>
        <w:t xml:space="preserve"> samme </w:t>
      </w:r>
      <w:r w:rsidR="00333BB7">
        <w:t>grad</w:t>
      </w:r>
      <w:r>
        <w:t xml:space="preserve"> for de digitale løsninger som </w:t>
      </w:r>
      <w:r w:rsidR="00333BB7">
        <w:t>NemID, Netbank og e-B</w:t>
      </w:r>
      <w:r>
        <w:t>oks.</w:t>
      </w:r>
    </w:p>
    <w:p w:rsidR="006A6F49" w:rsidRDefault="006A6F49" w:rsidP="006A6F49">
      <w:pPr>
        <w:spacing w:after="120"/>
      </w:pPr>
      <w:r>
        <w:t xml:space="preserve">Det første spørgsmål i skemaet, der </w:t>
      </w:r>
      <w:r w:rsidR="00B32132">
        <w:t>knyttede sig til emnet ’Den digitale virkelighed’</w:t>
      </w:r>
      <w:r>
        <w:t>,</w:t>
      </w:r>
      <w:r w:rsidR="000A70A1">
        <w:t xml:space="preserve"> </w:t>
      </w:r>
      <w:r>
        <w:t xml:space="preserve">gik på om den ældre døvblinde bruger e-mail til </w:t>
      </w:r>
      <w:r w:rsidR="00F73DF4">
        <w:t xml:space="preserve">at </w:t>
      </w:r>
      <w:r>
        <w:t xml:space="preserve">holde kontakt med andre, </w:t>
      </w:r>
      <w:r w:rsidR="00333BB7">
        <w:t xml:space="preserve">om de </w:t>
      </w:r>
      <w:r>
        <w:t xml:space="preserve">har </w:t>
      </w:r>
      <w:r w:rsidR="00333BB7">
        <w:t>behov for</w:t>
      </w:r>
      <w:r>
        <w:t xml:space="preserve"> hjælp til at lære at bruge e</w:t>
      </w:r>
      <w:r w:rsidR="00333BB7">
        <w:t>-</w:t>
      </w:r>
      <w:r>
        <w:t xml:space="preserve">mail eller slet ikke skriver mails. </w:t>
      </w:r>
    </w:p>
    <w:p w:rsidR="006A6F49" w:rsidRDefault="006A6F49" w:rsidP="006A6F49">
      <w:pPr>
        <w:spacing w:after="120"/>
      </w:pPr>
      <w:r>
        <w:t xml:space="preserve">Det næste spørgsmål gik på, hvor ofte den ældre bruger internettet, og det </w:t>
      </w:r>
      <w:r w:rsidR="00B73BD9">
        <w:t>tredje</w:t>
      </w:r>
      <w:r>
        <w:t xml:space="preserve"> gik på, om den ældre bruger Netbank eller andre NemID løsninger og hvordan. </w:t>
      </w:r>
    </w:p>
    <w:p w:rsidR="00AC57D5" w:rsidRDefault="00271FEB" w:rsidP="006A6F49">
      <w:pPr>
        <w:spacing w:after="120"/>
      </w:pPr>
      <w:proofErr w:type="gramStart"/>
      <w:r>
        <w:t>60</w:t>
      </w:r>
      <w:r w:rsidR="00DD0AD6">
        <w:t>%</w:t>
      </w:r>
      <w:proofErr w:type="gramEnd"/>
      <w:r w:rsidR="00AC57D5">
        <w:t xml:space="preserve"> af deltagerne har svaret, at de aldrig bruger hverken e-mail, internet, Netbank eller </w:t>
      </w:r>
      <w:r w:rsidR="00333BB7">
        <w:t>NemID</w:t>
      </w:r>
      <w:r w:rsidR="00AC57D5">
        <w:t xml:space="preserve">.  </w:t>
      </w:r>
    </w:p>
    <w:p w:rsidR="004B2445" w:rsidRPr="00AD24CD" w:rsidRDefault="00B73BD9" w:rsidP="006A6F49">
      <w:pPr>
        <w:spacing w:after="120"/>
      </w:pPr>
      <w:proofErr w:type="gramStart"/>
      <w:r>
        <w:t>3</w:t>
      </w:r>
      <w:r w:rsidR="0069629A">
        <w:t>4</w:t>
      </w:r>
      <w:r w:rsidR="00AC57D5">
        <w:t>%</w:t>
      </w:r>
      <w:proofErr w:type="gramEnd"/>
      <w:r w:rsidR="00AC57D5">
        <w:t xml:space="preserve"> har svaret, at de deltager i den digitale verden i form af </w:t>
      </w:r>
      <w:r w:rsidR="00333BB7">
        <w:t xml:space="preserve">NemID </w:t>
      </w:r>
      <w:r w:rsidR="00AC57D5">
        <w:t xml:space="preserve">eller netbank. Af dem er der lige mange, </w:t>
      </w:r>
      <w:r>
        <w:lastRenderedPageBreak/>
        <w:t>som kan selv og som har b</w:t>
      </w:r>
      <w:r w:rsidR="004212D5">
        <w:t xml:space="preserve">rug for hjælp til </w:t>
      </w:r>
      <w:r w:rsidR="00AC57D5">
        <w:t>at anvende digitalisereret kommunikation</w:t>
      </w:r>
      <w:r w:rsidR="00605301">
        <w:t>.</w:t>
      </w:r>
      <w:r w:rsidR="002103E5">
        <w:t xml:space="preserve"> </w:t>
      </w:r>
    </w:p>
    <w:p w:rsidR="004212D5" w:rsidRDefault="00FE4AA3" w:rsidP="006A6F49">
      <w:pPr>
        <w:spacing w:after="120"/>
      </w:pPr>
      <w:r>
        <w:t>Hvis man</w:t>
      </w:r>
      <w:r w:rsidR="002103E5">
        <w:t xml:space="preserve"> til gengæld</w:t>
      </w:r>
      <w:r>
        <w:t xml:space="preserve"> som ældre døvblind kan </w:t>
      </w:r>
      <w:r w:rsidR="00B73BD9">
        <w:t xml:space="preserve">benytte sig af </w:t>
      </w:r>
      <w:r w:rsidR="004212D5">
        <w:t>mail og internet</w:t>
      </w:r>
      <w:r>
        <w:t>, så viser undersøgelsen</w:t>
      </w:r>
      <w:r w:rsidR="002103E5">
        <w:t>,</w:t>
      </w:r>
      <w:r>
        <w:t xml:space="preserve"> at </w:t>
      </w:r>
      <w:r w:rsidR="004212D5">
        <w:t>de flest</w:t>
      </w:r>
      <w:r w:rsidR="00FA5AC8">
        <w:t>e</w:t>
      </w:r>
      <w:r w:rsidR="004212D5">
        <w:t xml:space="preserve"> selv</w:t>
      </w:r>
      <w:r>
        <w:t xml:space="preserve"> kan</w:t>
      </w:r>
      <w:r w:rsidR="004212D5">
        <w:t xml:space="preserve"> uden</w:t>
      </w:r>
      <w:r>
        <w:t xml:space="preserve"> at </w:t>
      </w:r>
      <w:r w:rsidR="00B73BD9">
        <w:t>få</w:t>
      </w:r>
      <w:r w:rsidR="004212D5">
        <w:t xml:space="preserve"> hjælp</w:t>
      </w:r>
      <w:r w:rsidR="002103E5">
        <w:t xml:space="preserve"> til det</w:t>
      </w:r>
      <w:r w:rsidR="00AD24CD">
        <w:t>. Det skal nævnes</w:t>
      </w:r>
      <w:r w:rsidR="00B73BD9">
        <w:t>,</w:t>
      </w:r>
      <w:r w:rsidR="00AD24CD">
        <w:t xml:space="preserve"> at man igennem mange år har brugt mange ressourcer i FDDB på at yde den service</w:t>
      </w:r>
      <w:r w:rsidR="00333BB7">
        <w:t>, det</w:t>
      </w:r>
      <w:r w:rsidR="00AD24CD">
        <w:t xml:space="preserve"> kræver for at medlemmerne kan få lavet en individuel opsætning samt udførlig oplæring i at bruge computer, e-mail og i manges tilfælde også internettet.</w:t>
      </w:r>
    </w:p>
    <w:p w:rsidR="00833E58" w:rsidRDefault="00833E58" w:rsidP="006A6F49">
      <w:pPr>
        <w:spacing w:after="120"/>
      </w:pPr>
      <w:r>
        <w:t>Der ses altså et behov for, at man tænker i hjælpeforanstaltninger for dem, som gerne vil med på den digitale bølge</w:t>
      </w:r>
      <w:r w:rsidR="00333BB7">
        <w:t xml:space="preserve"> i form af NemID, Netbank og e-Boks</w:t>
      </w:r>
      <w:r>
        <w:t xml:space="preserve">, men som ikke har mulighederne, som det er nu. </w:t>
      </w:r>
    </w:p>
    <w:p w:rsidR="00B73BD9" w:rsidRDefault="00B73BD9" w:rsidP="006A6F49">
      <w:pPr>
        <w:spacing w:after="120"/>
      </w:pPr>
    </w:p>
    <w:p w:rsidR="00B13997" w:rsidRDefault="003379F3" w:rsidP="006A6F49">
      <w:pPr>
        <w:pStyle w:val="Overskrift1"/>
        <w:spacing w:before="0" w:after="120"/>
      </w:pPr>
      <w:bookmarkStart w:id="17" w:name="_Toc419188684"/>
      <w:bookmarkStart w:id="18" w:name="_Toc422474004"/>
      <w:bookmarkStart w:id="19" w:name="_Toc423342677"/>
      <w:r w:rsidRPr="003379F3">
        <w:t>Den sociale virkelighed</w:t>
      </w:r>
      <w:bookmarkEnd w:id="17"/>
      <w:bookmarkEnd w:id="18"/>
      <w:bookmarkEnd w:id="19"/>
      <w:r w:rsidR="00B13997" w:rsidRPr="00B13997">
        <w:t xml:space="preserve"> </w:t>
      </w:r>
    </w:p>
    <w:p w:rsidR="000661CA" w:rsidRDefault="000661CA" w:rsidP="000661CA">
      <w:pPr>
        <w:spacing w:after="120"/>
      </w:pPr>
      <w:r>
        <w:t xml:space="preserve">For at have en høj livskvalitet er den sociale kontakt helt afgørende for de fleste mennesker. Det er i interaktionen med andre, man bliver fyldt op i forhold til humør, information, viden og nærhed. </w:t>
      </w:r>
    </w:p>
    <w:p w:rsidR="000661CA" w:rsidRDefault="000661CA" w:rsidP="006A6F49">
      <w:pPr>
        <w:spacing w:after="120"/>
      </w:pPr>
      <w:r>
        <w:t xml:space="preserve">Vedr. den sociale virkelighed blev deltagerne i undersøgelsen spurgt, om de har nemt ved at komme i kontakt med andre, synes det kræver mange personlige ressourcer at kommunikere med andre, eller har opgivet at kommunikere med andre. </w:t>
      </w:r>
    </w:p>
    <w:p w:rsidR="00DD0AD6" w:rsidRDefault="000661CA" w:rsidP="006A6F49">
      <w:pPr>
        <w:spacing w:after="120"/>
      </w:pPr>
      <w:r>
        <w:lastRenderedPageBreak/>
        <w:t xml:space="preserve">De blev også spurgt, om de føler sig velorienterede omkring, hvad der sker i samfundet, og om de oplever at have let eller svært ved at følge med i, hvad der sker omkring dem både lokalt, nationalt og internationalt.  </w:t>
      </w:r>
    </w:p>
    <w:p w:rsidR="000661CA" w:rsidRDefault="000661CA" w:rsidP="006A6F49">
      <w:pPr>
        <w:spacing w:after="120"/>
      </w:pPr>
      <w:r>
        <w:t xml:space="preserve">Vi spurgte også til, hvor ofte de får besøg af familie, venner, naboer eller bekendte, og om de kan lide at opleve nye ting som fx at rejse, eller foretrækker en hverdag i egne rammer. </w:t>
      </w:r>
    </w:p>
    <w:p w:rsidR="000661CA" w:rsidRPr="000661CA" w:rsidRDefault="000661CA" w:rsidP="006A6F49">
      <w:pPr>
        <w:spacing w:after="120"/>
      </w:pPr>
      <w:r>
        <w:t xml:space="preserve">Indenfor kategorien ’Den sociale virkelighed’ spurgte vi </w:t>
      </w:r>
      <w:r w:rsidR="00333BB7">
        <w:t>ligeledes ind</w:t>
      </w:r>
      <w:r>
        <w:t xml:space="preserve"> til, om deltagerne føler, de har en meningsfuld hverdag, og om de føler sig respekteret af omgivelserne. </w:t>
      </w:r>
    </w:p>
    <w:p w:rsidR="003E12A6" w:rsidRDefault="00401115" w:rsidP="006A6F49">
      <w:pPr>
        <w:spacing w:after="120"/>
      </w:pPr>
      <w:r>
        <w:t>I undersøgelsen er de</w:t>
      </w:r>
      <w:r w:rsidR="004349D9">
        <w:t>r kun en enkelt af de adspurgte</w:t>
      </w:r>
      <w:r w:rsidR="00A3766F">
        <w:t>,</w:t>
      </w:r>
      <w:r w:rsidR="004349D9">
        <w:t xml:space="preserve"> der har opgivet at</w:t>
      </w:r>
      <w:r>
        <w:t xml:space="preserve"> kommunikere med omverden, </w:t>
      </w:r>
      <w:r w:rsidR="00AD24CD">
        <w:t xml:space="preserve">mens hele </w:t>
      </w:r>
      <w:proofErr w:type="gramStart"/>
      <w:r w:rsidR="00C42C62">
        <w:t>63%</w:t>
      </w:r>
      <w:proofErr w:type="gramEnd"/>
      <w:r w:rsidR="003E12A6">
        <w:t xml:space="preserve"> </w:t>
      </w:r>
      <w:r w:rsidR="00C6679D">
        <w:t xml:space="preserve">finder det nemt at have kontakt til omgivelserne. </w:t>
      </w:r>
      <w:proofErr w:type="gramStart"/>
      <w:r w:rsidR="003C0ABE">
        <w:t>48%</w:t>
      </w:r>
      <w:proofErr w:type="gramEnd"/>
      <w:r w:rsidR="00C6679D">
        <w:t xml:space="preserve"> </w:t>
      </w:r>
      <w:r w:rsidR="003C0ABE">
        <w:t xml:space="preserve">synes </w:t>
      </w:r>
      <w:r w:rsidR="00C6679D">
        <w:t>det kræver mange personlige ressourcer a</w:t>
      </w:r>
      <w:r w:rsidR="00BE4EDC">
        <w:t>t skabe kommunikation med andre</w:t>
      </w:r>
      <w:r w:rsidR="003E12A6">
        <w:t xml:space="preserve">. </w:t>
      </w:r>
    </w:p>
    <w:p w:rsidR="004349D9" w:rsidRDefault="00BB0168" w:rsidP="006A6F49">
      <w:pPr>
        <w:spacing w:after="120"/>
      </w:pPr>
      <w:r>
        <w:t>Ser man særskilt på tallene for tegnsprogsbrugerne,</w:t>
      </w:r>
      <w:r w:rsidR="00AD24CD">
        <w:t xml:space="preserve"> så </w:t>
      </w:r>
      <w:r w:rsidR="00C6679D">
        <w:t>synes</w:t>
      </w:r>
      <w:r w:rsidR="00AD24CD">
        <w:t xml:space="preserve"> </w:t>
      </w:r>
      <w:proofErr w:type="gramStart"/>
      <w:r w:rsidR="00AD24CD">
        <w:t>50%</w:t>
      </w:r>
      <w:proofErr w:type="gramEnd"/>
      <w:r w:rsidR="00AD24CD">
        <w:t xml:space="preserve"> faktisk</w:t>
      </w:r>
      <w:r>
        <w:t>, at</w:t>
      </w:r>
      <w:r w:rsidR="00AD24CD">
        <w:rPr>
          <w:i/>
          <w:iCs/>
        </w:rPr>
        <w:t xml:space="preserve"> </w:t>
      </w:r>
      <w:r w:rsidR="00C6679D">
        <w:t xml:space="preserve">det kræver </w:t>
      </w:r>
      <w:r>
        <w:t xml:space="preserve">en del </w:t>
      </w:r>
      <w:r w:rsidR="00401115">
        <w:t>personlige ressourcer</w:t>
      </w:r>
      <w:r w:rsidR="00C6679D">
        <w:t xml:space="preserve"> at kommunikere med omgivelserne.</w:t>
      </w:r>
      <w:r>
        <w:t xml:space="preserve"> </w:t>
      </w:r>
    </w:p>
    <w:p w:rsidR="00C6679D" w:rsidRDefault="00401115" w:rsidP="006A6F49">
      <w:pPr>
        <w:spacing w:after="120"/>
      </w:pPr>
      <w:r>
        <w:t>Når det kommer til viden</w:t>
      </w:r>
      <w:r w:rsidR="003C0ABE">
        <w:t xml:space="preserve"> om,</w:t>
      </w:r>
      <w:r>
        <w:t xml:space="preserve"> hvad der sker i samfundet lokalt og nationalt mener d</w:t>
      </w:r>
      <w:r w:rsidR="00C6679D">
        <w:t>e fleste</w:t>
      </w:r>
      <w:r>
        <w:t>,</w:t>
      </w:r>
      <w:r w:rsidR="00C6679D">
        <w:t xml:space="preserve"> de er </w:t>
      </w:r>
      <w:r>
        <w:t>vel</w:t>
      </w:r>
      <w:r w:rsidR="00D132DA">
        <w:t>orienterede.</w:t>
      </w:r>
      <w:r w:rsidR="00C6679D">
        <w:t xml:space="preserve"> </w:t>
      </w:r>
      <w:r w:rsidR="00BB0168">
        <w:t>Dog</w:t>
      </w:r>
      <w:r>
        <w:t xml:space="preserve"> synes </w:t>
      </w:r>
      <w:proofErr w:type="gramStart"/>
      <w:r w:rsidR="003C0ABE">
        <w:t>35%</w:t>
      </w:r>
      <w:proofErr w:type="gramEnd"/>
      <w:r>
        <w:t>,</w:t>
      </w:r>
      <w:r w:rsidR="00C6679D">
        <w:t xml:space="preserve"> </w:t>
      </w:r>
      <w:r w:rsidR="00BB0168">
        <w:t xml:space="preserve">at </w:t>
      </w:r>
      <w:r w:rsidR="00C6679D">
        <w:t>det kræver mege</w:t>
      </w:r>
      <w:r w:rsidR="00BB0168">
        <w:t>t</w:t>
      </w:r>
      <w:r w:rsidR="00C6679D">
        <w:t xml:space="preserve"> energi</w:t>
      </w:r>
      <w:r w:rsidR="004C6A0E">
        <w:t xml:space="preserve"> at holde sig orienteret</w:t>
      </w:r>
      <w:r>
        <w:t>, men</w:t>
      </w:r>
      <w:r w:rsidR="003C0ABE">
        <w:t>s 11%</w:t>
      </w:r>
      <w:r w:rsidR="00C6679D">
        <w:t xml:space="preserve"> ikke </w:t>
      </w:r>
      <w:r>
        <w:t xml:space="preserve">har </w:t>
      </w:r>
      <w:r w:rsidR="00C6679D">
        <w:t>en oplevelse af at være orienteret tilstrækkeligt.</w:t>
      </w:r>
    </w:p>
    <w:p w:rsidR="0069629A" w:rsidRDefault="00BB0168" w:rsidP="006A6F49">
      <w:pPr>
        <w:spacing w:after="120"/>
      </w:pPr>
      <w:r>
        <w:lastRenderedPageBreak/>
        <w:t xml:space="preserve">Størstedelen </w:t>
      </w:r>
      <w:r w:rsidR="00401115">
        <w:t xml:space="preserve">af deltagerne </w:t>
      </w:r>
      <w:r w:rsidR="00C6679D">
        <w:t xml:space="preserve">får besøg af familie og venner </w:t>
      </w:r>
      <w:r w:rsidR="003422EC">
        <w:t xml:space="preserve">mindst </w:t>
      </w:r>
      <w:r w:rsidR="00C6679D">
        <w:t>hver måned</w:t>
      </w:r>
      <w:r w:rsidR="007C6389">
        <w:t xml:space="preserve"> og føler sig </w:t>
      </w:r>
      <w:r w:rsidR="00401115">
        <w:t xml:space="preserve">samtidig </w:t>
      </w:r>
      <w:r w:rsidR="007C6389">
        <w:t xml:space="preserve">respekteret af </w:t>
      </w:r>
      <w:r>
        <w:t>deres</w:t>
      </w:r>
      <w:r w:rsidR="007C6389">
        <w:t xml:space="preserve"> omgivelser</w:t>
      </w:r>
      <w:r>
        <w:t xml:space="preserve">. </w:t>
      </w:r>
      <w:proofErr w:type="gramStart"/>
      <w:r>
        <w:t>14%</w:t>
      </w:r>
      <w:proofErr w:type="gramEnd"/>
      <w:r>
        <w:t xml:space="preserve"> får </w:t>
      </w:r>
      <w:r w:rsidR="00C6679D">
        <w:t>kun besøg hver tredje måned</w:t>
      </w:r>
      <w:r>
        <w:t xml:space="preserve">. Heraf er halvdelen tegnsprogsbrugere og halvdelen talebrugere. </w:t>
      </w:r>
    </w:p>
    <w:p w:rsidR="00BB0168" w:rsidRDefault="009501E7" w:rsidP="006A6F49">
      <w:pPr>
        <w:spacing w:after="120"/>
      </w:pPr>
      <w:proofErr w:type="gramStart"/>
      <w:r>
        <w:t>78%</w:t>
      </w:r>
      <w:proofErr w:type="gramEnd"/>
      <w:r>
        <w:t xml:space="preserve"> </w:t>
      </w:r>
      <w:r w:rsidR="0069629A">
        <w:t>oplever</w:t>
      </w:r>
      <w:r w:rsidR="00D132DA">
        <w:t>, at</w:t>
      </w:r>
      <w:r w:rsidR="0069629A">
        <w:t xml:space="preserve"> de bliver</w:t>
      </w:r>
      <w:r w:rsidR="00DD4961" w:rsidRPr="00BB0168">
        <w:t xml:space="preserve"> respektere</w:t>
      </w:r>
      <w:r>
        <w:t>t</w:t>
      </w:r>
      <w:r w:rsidR="00DD4961" w:rsidRPr="00BB0168">
        <w:t xml:space="preserve"> af</w:t>
      </w:r>
      <w:r w:rsidR="00DD4961">
        <w:t xml:space="preserve"> omgivelserne</w:t>
      </w:r>
      <w:r>
        <w:t>, mens 8% synes</w:t>
      </w:r>
      <w:r w:rsidR="00D132DA">
        <w:t>, at</w:t>
      </w:r>
      <w:r>
        <w:t xml:space="preserve"> omgivels</w:t>
      </w:r>
      <w:r w:rsidR="00D132DA">
        <w:t>erne kun ser dem som handicappede</w:t>
      </w:r>
      <w:r>
        <w:t>.</w:t>
      </w:r>
      <w:r w:rsidR="0002331E">
        <w:t xml:space="preserve">  </w:t>
      </w:r>
      <w:r w:rsidR="0069629A">
        <w:t xml:space="preserve">Ud af de adspurgte er der </w:t>
      </w:r>
      <w:proofErr w:type="gramStart"/>
      <w:r w:rsidR="0069629A">
        <w:t>17%</w:t>
      </w:r>
      <w:proofErr w:type="gramEnd"/>
      <w:r w:rsidR="0069629A">
        <w:t>, der mener de må kæmpe meget for at blive respekteret</w:t>
      </w:r>
      <w:r w:rsidR="00333BB7">
        <w:t>,</w:t>
      </w:r>
      <w:r w:rsidR="0069629A">
        <w:t xml:space="preserve"> men synes</w:t>
      </w:r>
      <w:r w:rsidR="00D132DA">
        <w:t>, at</w:t>
      </w:r>
      <w:r w:rsidR="0069629A">
        <w:t xml:space="preserve"> det </w:t>
      </w:r>
      <w:r w:rsidR="00D132DA">
        <w:t xml:space="preserve">ofte </w:t>
      </w:r>
      <w:r w:rsidR="0069629A">
        <w:t>lykkes.</w:t>
      </w:r>
    </w:p>
    <w:p w:rsidR="009A27C4" w:rsidRDefault="00401115" w:rsidP="006A6F49">
      <w:pPr>
        <w:spacing w:after="120"/>
      </w:pPr>
      <w:r>
        <w:t>Når spørgsmålet falder på</w:t>
      </w:r>
      <w:r w:rsidR="00BB0168">
        <w:t>,</w:t>
      </w:r>
      <w:r>
        <w:t xml:space="preserve"> hvorvidt deltagerne ønsker sig en besøgsven, svare</w:t>
      </w:r>
      <w:r w:rsidR="003E12A6">
        <w:t>r</w:t>
      </w:r>
      <w:r>
        <w:t xml:space="preserve"> </w:t>
      </w:r>
      <w:proofErr w:type="gramStart"/>
      <w:r w:rsidR="00D51B38">
        <w:t>66%</w:t>
      </w:r>
      <w:proofErr w:type="gramEnd"/>
      <w:r>
        <w:t xml:space="preserve">, at det </w:t>
      </w:r>
      <w:r w:rsidR="00BB0168">
        <w:t>gør</w:t>
      </w:r>
      <w:r>
        <w:t xml:space="preserve"> de ikke. </w:t>
      </w:r>
      <w:proofErr w:type="gramStart"/>
      <w:r w:rsidR="003C0ABE">
        <w:t>12%</w:t>
      </w:r>
      <w:proofErr w:type="gramEnd"/>
      <w:r>
        <w:t xml:space="preserve"> har allerede </w:t>
      </w:r>
      <w:r w:rsidR="009A27C4">
        <w:t xml:space="preserve">én, </w:t>
      </w:r>
      <w:r>
        <w:t xml:space="preserve">og </w:t>
      </w:r>
      <w:r w:rsidR="003C0ABE">
        <w:t>13%</w:t>
      </w:r>
      <w:r>
        <w:t xml:space="preserve"> kunne godt tænke sig </w:t>
      </w:r>
      <w:r w:rsidR="009A27C4">
        <w:t xml:space="preserve">én. </w:t>
      </w:r>
    </w:p>
    <w:p w:rsidR="009A27C4" w:rsidRDefault="00401115" w:rsidP="006A6F49">
      <w:pPr>
        <w:spacing w:after="120"/>
      </w:pPr>
      <w:r>
        <w:t>Det</w:t>
      </w:r>
      <w:r w:rsidR="009A27C4">
        <w:t xml:space="preserve"> resultat mener vi kan tolkes på flere måder. Den ældre generation har ofte svært ved at bede omgivelserne om den hjælp og opmærksomhed, som vi mener, de har krav på, og som de kan have glæde af. At bede om en besøgsven ved vi også kan være et stort skridt, da det signalerer ensomhed –</w:t>
      </w:r>
      <w:r w:rsidR="00D132DA">
        <w:t xml:space="preserve"> </w:t>
      </w:r>
      <w:r w:rsidR="009A27C4">
        <w:t xml:space="preserve">noget mange helst holder for sig selv. Derfor mener vi ikke, at man entydigt kan konkludere, at kun </w:t>
      </w:r>
      <w:proofErr w:type="gramStart"/>
      <w:r w:rsidR="009A27C4">
        <w:t>25%</w:t>
      </w:r>
      <w:proofErr w:type="gramEnd"/>
      <w:r w:rsidR="009A27C4">
        <w:t xml:space="preserve"> har behov for en besøgsven. Sammenholdt med, at den halvdel af </w:t>
      </w:r>
      <w:proofErr w:type="spellStart"/>
      <w:r w:rsidR="009A27C4">
        <w:t>FDDB’s</w:t>
      </w:r>
      <w:proofErr w:type="spellEnd"/>
      <w:r w:rsidR="009A27C4">
        <w:t xml:space="preserve"> medlemmer, som ikke kommer i </w:t>
      </w:r>
      <w:r w:rsidR="002A417C">
        <w:t xml:space="preserve">en </w:t>
      </w:r>
      <w:proofErr w:type="spellStart"/>
      <w:r w:rsidR="009A27C4">
        <w:t>erfagruppe</w:t>
      </w:r>
      <w:proofErr w:type="spellEnd"/>
      <w:r w:rsidR="009A27C4">
        <w:t xml:space="preserve"> og dermed ikke er med i undersøgelsen, </w:t>
      </w:r>
      <w:r w:rsidR="002A417C">
        <w:t xml:space="preserve">samtidig </w:t>
      </w:r>
      <w:r w:rsidR="009A27C4">
        <w:t xml:space="preserve">er dem, som </w:t>
      </w:r>
      <w:r w:rsidR="002A417C">
        <w:t>i mange tilfælde</w:t>
      </w:r>
      <w:r w:rsidR="009A27C4">
        <w:t xml:space="preserve"> </w:t>
      </w:r>
      <w:r w:rsidR="002A417C">
        <w:t>lev</w:t>
      </w:r>
      <w:r w:rsidR="009A27C4">
        <w:t xml:space="preserve">er </w:t>
      </w:r>
      <w:r w:rsidR="002A417C">
        <w:t>aller</w:t>
      </w:r>
      <w:r w:rsidR="009A27C4">
        <w:t>mest isolere</w:t>
      </w:r>
      <w:r w:rsidR="002A417C">
        <w:t>de</w:t>
      </w:r>
      <w:r w:rsidR="009A27C4">
        <w:t xml:space="preserve">, mener vi, at </w:t>
      </w:r>
      <w:r w:rsidR="002A417C">
        <w:t xml:space="preserve">tallet dækker over et i realiteten langt </w:t>
      </w:r>
      <w:r w:rsidR="009A27C4">
        <w:t xml:space="preserve">højere skjult tal omkring </w:t>
      </w:r>
      <w:r w:rsidR="002A417C">
        <w:t xml:space="preserve">manglende </w:t>
      </w:r>
      <w:r w:rsidR="009A27C4">
        <w:t xml:space="preserve">social </w:t>
      </w:r>
      <w:r w:rsidR="002A417C">
        <w:t>kontakt</w:t>
      </w:r>
      <w:r w:rsidR="009A27C4">
        <w:t xml:space="preserve">.  </w:t>
      </w:r>
    </w:p>
    <w:p w:rsidR="002A417C" w:rsidRDefault="002A417C" w:rsidP="002A417C">
      <w:pPr>
        <w:spacing w:after="120"/>
      </w:pPr>
      <w:proofErr w:type="gramStart"/>
      <w:r>
        <w:lastRenderedPageBreak/>
        <w:t>62%</w:t>
      </w:r>
      <w:proofErr w:type="gramEnd"/>
      <w:r>
        <w:t xml:space="preserve"> af deltager</w:t>
      </w:r>
      <w:r w:rsidR="000A658E">
        <w:t>ne</w:t>
      </w:r>
      <w:r>
        <w:t xml:space="preserve"> i undersøgelsen kan godt lide at prøve nye ting, men halvdelen af dem synes ikke, de har kræfterne til fx at rejse, tage på højskole etc., selvom de gerne ville. </w:t>
      </w:r>
      <w:proofErr w:type="gramStart"/>
      <w:r>
        <w:t>19%</w:t>
      </w:r>
      <w:proofErr w:type="gramEnd"/>
      <w:r>
        <w:rPr>
          <w:i/>
          <w:iCs/>
        </w:rPr>
        <w:t xml:space="preserve"> </w:t>
      </w:r>
      <w:r>
        <w:t xml:space="preserve">synes, at en hverdag uden nye ting er at foretrække. </w:t>
      </w:r>
      <w:r w:rsidR="00122699">
        <w:t>De fleste ældre døvblinde er helt afhængige af hjælp og særlige hensyn for</w:t>
      </w:r>
      <w:r w:rsidR="0076401A">
        <w:t>,</w:t>
      </w:r>
      <w:r w:rsidR="00122699">
        <w:t xml:space="preserve"> at en oplevelse bliver vellykket og overhovedet kan lade sig gøre.</w:t>
      </w:r>
    </w:p>
    <w:p w:rsidR="000A658E" w:rsidRDefault="00122699" w:rsidP="006A6F49">
      <w:pPr>
        <w:spacing w:after="120"/>
      </w:pPr>
      <w:proofErr w:type="gramStart"/>
      <w:r>
        <w:t>27%</w:t>
      </w:r>
      <w:proofErr w:type="gramEnd"/>
      <w:r>
        <w:t xml:space="preserve"> af deltagerne i undersøgelsen mener ikke, de har en meningsfuld eller delvist meningsfuld hverdag. </w:t>
      </w:r>
      <w:r w:rsidR="000A658E">
        <w:t>Noget der tæller i den daglige trivsel er, at man har mulighed for at gøre det, man kan lide. En begrænsning i muligheder kan føre til manglende livslyst, og FDDB mener derfor, at der bør arbejdes aktivt med at skabe så mange alternative muligheder for ældre med syns- og hørenedsættelser</w:t>
      </w:r>
      <w:r w:rsidR="0076401A">
        <w:t xml:space="preserve"> som muligt</w:t>
      </w:r>
      <w:r w:rsidR="000A658E">
        <w:t xml:space="preserve">. Hvis man ikke kan rejse langt væk, som man måske plejer, og ikke har så mange sociale kontakter, så bør der kompenseres med små og nære oplevelser og muligheder for social kontakt. Det kan være med til både at bevare sit humør, sit livsmod og sin personlige integritet. </w:t>
      </w:r>
    </w:p>
    <w:p w:rsidR="000A658E" w:rsidRDefault="000A658E" w:rsidP="000A658E">
      <w:pPr>
        <w:spacing w:after="120"/>
      </w:pPr>
      <w:bookmarkStart w:id="20" w:name="_Toc419188685"/>
    </w:p>
    <w:p w:rsidR="00543011" w:rsidRPr="00B13997" w:rsidRDefault="00F73DF4" w:rsidP="000A658E">
      <w:pPr>
        <w:pStyle w:val="Overskrift1"/>
        <w:spacing w:before="0" w:after="120"/>
      </w:pPr>
      <w:bookmarkStart w:id="21" w:name="_Toc422474005"/>
      <w:r>
        <w:br w:type="column"/>
      </w:r>
      <w:bookmarkStart w:id="22" w:name="_Toc423342678"/>
      <w:r w:rsidR="00AD24CD">
        <w:lastRenderedPageBreak/>
        <w:t>D</w:t>
      </w:r>
      <w:r w:rsidR="003379F3" w:rsidRPr="003379F3">
        <w:t>en aktive virkelighed</w:t>
      </w:r>
      <w:bookmarkEnd w:id="20"/>
      <w:bookmarkEnd w:id="21"/>
      <w:bookmarkEnd w:id="22"/>
      <w:r w:rsidR="00B13997">
        <w:t xml:space="preserve"> </w:t>
      </w:r>
    </w:p>
    <w:p w:rsidR="009D7CD3" w:rsidRPr="00080903" w:rsidRDefault="009D7CD3" w:rsidP="009D7CD3">
      <w:pPr>
        <w:spacing w:after="120"/>
      </w:pPr>
      <w:r w:rsidRPr="00080903">
        <w:t xml:space="preserve">En ny undersøgelse fra SFI – Det nationale Forskningscenter for Velfærd </w:t>
      </w:r>
      <w:r w:rsidR="00D132DA">
        <w:t>– viser</w:t>
      </w:r>
      <w:r w:rsidRPr="00080903">
        <w:t xml:space="preserve">, at det samlede antal ældre, der dyrker motion jævnligt, er i støt stigning. Eksempelvis er </w:t>
      </w:r>
      <w:r>
        <w:t xml:space="preserve">det generelle antal </w:t>
      </w:r>
      <w:r w:rsidRPr="00080903">
        <w:t xml:space="preserve">af mænd på 67 år, der dyrker motion en eller flere gange om ugen, steget fra 20 procent i 1997 til 36 procent i 2012. Blandt kvinder er tallet vokset fra 33 til 51 procent. </w:t>
      </w:r>
    </w:p>
    <w:p w:rsidR="00122699" w:rsidRDefault="00122699" w:rsidP="006A6F49">
      <w:pPr>
        <w:spacing w:after="120"/>
      </w:pPr>
      <w:r>
        <w:t xml:space="preserve">Det kan være svært at forene et liv som ældre og døvblind med aktiviteter som gåtur og motion. Alligevel lykkes det for langt de fleste i undersøgelsen at bevæge sig </w:t>
      </w:r>
      <w:r w:rsidR="009D7CD3">
        <w:t xml:space="preserve">og få en god portion motion jævnligt. </w:t>
      </w:r>
      <w:r>
        <w:t xml:space="preserve">Spørgsmålet er, om det er nok til at opretholde en generelt sund livsstil? </w:t>
      </w:r>
    </w:p>
    <w:p w:rsidR="00122699" w:rsidRDefault="00122699" w:rsidP="006A6F49">
      <w:pPr>
        <w:spacing w:after="120"/>
      </w:pPr>
      <w:r>
        <w:t xml:space="preserve">I undersøgelsen spurgte vi, hvor ofte og længe ad gangen, deltagerne kommer ud at gå og om de har mulighed for anden motion. </w:t>
      </w:r>
    </w:p>
    <w:p w:rsidR="00151ACF" w:rsidRDefault="00151ACF" w:rsidP="006A6F49">
      <w:pPr>
        <w:spacing w:after="120"/>
      </w:pPr>
      <w:proofErr w:type="gramStart"/>
      <w:r>
        <w:t>50%</w:t>
      </w:r>
      <w:proofErr w:type="gramEnd"/>
      <w:r>
        <w:t xml:space="preserve"> går mindst en time daglig</w:t>
      </w:r>
      <w:r w:rsidR="009D7CD3">
        <w:t>t</w:t>
      </w:r>
      <w:r>
        <w:t xml:space="preserve"> med eller uden ledsager og 46% kommer ud </w:t>
      </w:r>
      <w:r w:rsidR="00AD24CD">
        <w:t>at</w:t>
      </w:r>
      <w:r>
        <w:t xml:space="preserve"> gå</w:t>
      </w:r>
      <w:r w:rsidR="00230FCA">
        <w:t>,</w:t>
      </w:r>
      <w:r>
        <w:t xml:space="preserve"> når de kan få en ledsager med. </w:t>
      </w:r>
      <w:r w:rsidR="006C7F53">
        <w:t>K</w:t>
      </w:r>
      <w:r w:rsidR="001E29D1">
        <w:t xml:space="preserve">un </w:t>
      </w:r>
      <w:proofErr w:type="gramStart"/>
      <w:r w:rsidR="008F36C0">
        <w:t>3</w:t>
      </w:r>
      <w:r w:rsidR="00230FCA">
        <w:t>%</w:t>
      </w:r>
      <w:proofErr w:type="gramEnd"/>
      <w:r w:rsidR="001E29D1">
        <w:t xml:space="preserve"> </w:t>
      </w:r>
      <w:r w:rsidR="00AD24CD">
        <w:t xml:space="preserve"> </w:t>
      </w:r>
      <w:r w:rsidR="001E29D1">
        <w:t xml:space="preserve">går </w:t>
      </w:r>
      <w:r w:rsidR="006C7F53">
        <w:t xml:space="preserve">aldrig </w:t>
      </w:r>
      <w:r w:rsidR="001E29D1">
        <w:t>en tur</w:t>
      </w:r>
      <w:r>
        <w:t>.</w:t>
      </w:r>
    </w:p>
    <w:p w:rsidR="00151ACF" w:rsidRDefault="00151ACF" w:rsidP="006A6F49">
      <w:pPr>
        <w:spacing w:after="120"/>
      </w:pPr>
      <w:proofErr w:type="gramStart"/>
      <w:r>
        <w:t>50%</w:t>
      </w:r>
      <w:proofErr w:type="gramEnd"/>
      <w:r>
        <w:t xml:space="preserve"> </w:t>
      </w:r>
      <w:r w:rsidRPr="00151ACF">
        <w:t>dyrker motion af en eller anden slags flere gange om måneden</w:t>
      </w:r>
      <w:r>
        <w:t>, mens</w:t>
      </w:r>
      <w:r w:rsidR="00AD24CD">
        <w:t xml:space="preserve"> </w:t>
      </w:r>
      <w:r w:rsidR="003C0ABE">
        <w:t>27%</w:t>
      </w:r>
      <w:r w:rsidR="006C7F53">
        <w:rPr>
          <w:i/>
          <w:iCs/>
        </w:rPr>
        <w:t xml:space="preserve"> </w:t>
      </w:r>
      <w:r w:rsidR="009D7CD3">
        <w:t xml:space="preserve">oplyser, at de ikke </w:t>
      </w:r>
      <w:r w:rsidR="001E29D1">
        <w:t>dyrker motion</w:t>
      </w:r>
      <w:r w:rsidR="00080903">
        <w:t>.</w:t>
      </w:r>
    </w:p>
    <w:p w:rsidR="009D7CD3" w:rsidRDefault="009D7CD3" w:rsidP="006A6F49">
      <w:pPr>
        <w:spacing w:after="120"/>
      </w:pPr>
      <w:r>
        <w:t xml:space="preserve">Samfundets generelle </w:t>
      </w:r>
      <w:r w:rsidR="00080903">
        <w:t>øge</w:t>
      </w:r>
      <w:r>
        <w:t>de</w:t>
      </w:r>
      <w:r w:rsidR="00080903">
        <w:t xml:space="preserve"> fokus på motion </w:t>
      </w:r>
      <w:r>
        <w:t xml:space="preserve">ser altså ud til at have </w:t>
      </w:r>
      <w:r w:rsidR="00080903">
        <w:t>b</w:t>
      </w:r>
      <w:bookmarkStart w:id="23" w:name="_Toc419188686"/>
      <w:r>
        <w:t>redt sig til de ældre døvblinde</w:t>
      </w:r>
      <w:r w:rsidR="00071F36">
        <w:t xml:space="preserve">. </w:t>
      </w:r>
    </w:p>
    <w:p w:rsidR="003A3B24" w:rsidRDefault="00153EAF" w:rsidP="006A6F49">
      <w:pPr>
        <w:spacing w:after="120"/>
      </w:pPr>
      <w:r>
        <w:lastRenderedPageBreak/>
        <w:t>F</w:t>
      </w:r>
      <w:r w:rsidR="003A3B24">
        <w:t>ra 2010-2013 har FDD</w:t>
      </w:r>
      <w:r w:rsidR="009D7CD3">
        <w:t xml:space="preserve">B </w:t>
      </w:r>
      <w:r w:rsidR="003A3B24">
        <w:t>holdt kurser i sund livsstil for mere end 20 døvblinde på hvert kurs</w:t>
      </w:r>
      <w:r w:rsidR="009D7CD3">
        <w:t xml:space="preserve">us, hvori indgik introduktion til </w:t>
      </w:r>
      <w:r w:rsidR="003A3B24">
        <w:t xml:space="preserve">forskellige former for bevægelse og motion, som ældre kan dyrke hjemme lokalt. I kurserne indgik foredrag om kost og ernæring, sundhedspsykologi samt brug og </w:t>
      </w:r>
      <w:r>
        <w:t>m</w:t>
      </w:r>
      <w:r w:rsidR="003A3B24">
        <w:t>isbrug af medicin m.m.</w:t>
      </w:r>
      <w:r w:rsidR="009D7CD3">
        <w:t xml:space="preserve"> Undersøgelsens resultater </w:t>
      </w:r>
      <w:r w:rsidR="003A3B24">
        <w:t xml:space="preserve">tyder </w:t>
      </w:r>
      <w:r w:rsidR="009D7CD3">
        <w:t>på</w:t>
      </w:r>
      <w:r>
        <w:t xml:space="preserve">, at </w:t>
      </w:r>
      <w:r w:rsidR="003A3B24">
        <w:t xml:space="preserve">disse kurser har været inspirerende for mange døvblinde, som er blevet motiveret og bevidst om motionens betydning for </w:t>
      </w:r>
      <w:proofErr w:type="gramStart"/>
      <w:r w:rsidR="003A3B24">
        <w:t>den</w:t>
      </w:r>
      <w:proofErr w:type="gramEnd"/>
      <w:r w:rsidR="003A3B24">
        <w:t xml:space="preserve"> almene velvære og en bedre helbredstilstand.</w:t>
      </w:r>
      <w:r>
        <w:t xml:space="preserve"> </w:t>
      </w:r>
    </w:p>
    <w:p w:rsidR="00153EAF" w:rsidRDefault="00153EAF" w:rsidP="006A6F49">
      <w:pPr>
        <w:spacing w:after="120"/>
      </w:pPr>
      <w:r>
        <w:t xml:space="preserve">De </w:t>
      </w:r>
      <w:proofErr w:type="gramStart"/>
      <w:r>
        <w:t>50%</w:t>
      </w:r>
      <w:proofErr w:type="gramEnd"/>
      <w:r>
        <w:t xml:space="preserve"> af deltagerne, der ikke har svaret bekræftende på spørgsmålene om jævnlig motion, er derimod i farezonen for ikke at få motion nok, hvilket nemt kan påvirke den generelle helbredstilstand og påvirke livskvaliteten negativt. Da de fleste ældre døvblinde har brug for hjælp til at gennemføre aktiviteter, der indeholder motion, mener FDDB, at det kan være en afgørende faktor, at der afsættes timer i kontaktpersonbevillingerne til, at ældre døvblinde kan komme op på bare et minimum af et acceptabelt motions-niveau. </w:t>
      </w:r>
    </w:p>
    <w:p w:rsidR="00153EAF" w:rsidRDefault="00153EAF" w:rsidP="006A6F49">
      <w:pPr>
        <w:pStyle w:val="Overskrift1"/>
        <w:spacing w:before="0" w:after="120"/>
      </w:pPr>
    </w:p>
    <w:p w:rsidR="00240A59" w:rsidRDefault="00B731DB" w:rsidP="006A6F49">
      <w:pPr>
        <w:pStyle w:val="Overskrift1"/>
        <w:spacing w:before="0" w:after="120"/>
      </w:pPr>
      <w:bookmarkStart w:id="24" w:name="_Toc422474006"/>
      <w:bookmarkStart w:id="25" w:name="_Toc423342679"/>
      <w:r>
        <w:t>Den praktiske virkelighed</w:t>
      </w:r>
      <w:bookmarkEnd w:id="23"/>
      <w:bookmarkEnd w:id="24"/>
      <w:bookmarkEnd w:id="25"/>
      <w:r>
        <w:t xml:space="preserve"> </w:t>
      </w:r>
    </w:p>
    <w:p w:rsidR="00153EAF" w:rsidRDefault="00312D8F" w:rsidP="006A6F49">
      <w:pPr>
        <w:spacing w:after="120"/>
      </w:pPr>
      <w:r>
        <w:t xml:space="preserve">I kategorien ’den praktiske virkelighed’ spurgte vi deltagerne, om de får den støtte og hjælp, som de </w:t>
      </w:r>
      <w:r>
        <w:lastRenderedPageBreak/>
        <w:t xml:space="preserve">behøver, om de kunne bruge mere hjælp, end de får, eller om de har et mærkbart større behov for støtte og hjælp, end de får. </w:t>
      </w:r>
    </w:p>
    <w:p w:rsidR="00312D8F" w:rsidRDefault="00312D8F" w:rsidP="006A6F49">
      <w:pPr>
        <w:spacing w:after="120"/>
      </w:pPr>
      <w:r>
        <w:t xml:space="preserve">Vi spurgte også, hvordan de har det med at modtage hjælp – om det føles rart, er svært at tage imod, eller om man ligefrem vælger at gøre mange ting selv, fordi man ikke ønsker hjælp. </w:t>
      </w:r>
    </w:p>
    <w:p w:rsidR="00FA5AC8" w:rsidRDefault="00240A59" w:rsidP="006A6F49">
      <w:pPr>
        <w:spacing w:after="120"/>
      </w:pPr>
      <w:r>
        <w:t xml:space="preserve">De fleste </w:t>
      </w:r>
      <w:r w:rsidR="008F36C0">
        <w:t xml:space="preserve">ældre døvblinde </w:t>
      </w:r>
      <w:r>
        <w:t xml:space="preserve">er </w:t>
      </w:r>
      <w:r w:rsidR="008F36C0">
        <w:t xml:space="preserve">afhængige af hjælp. </w:t>
      </w:r>
      <w:r w:rsidR="001E29D1">
        <w:t>En stor del af deltagerne er tilfredse med den hjælp</w:t>
      </w:r>
      <w:r w:rsidR="008F36C0">
        <w:t>,</w:t>
      </w:r>
      <w:r w:rsidR="001E29D1">
        <w:t xml:space="preserve"> de får </w:t>
      </w:r>
      <w:r w:rsidR="00FD1CD9">
        <w:t xml:space="preserve">i deres hverdag </w:t>
      </w:r>
      <w:r w:rsidR="001E29D1">
        <w:t xml:space="preserve">og synes </w:t>
      </w:r>
      <w:r w:rsidR="008F36C0">
        <w:t xml:space="preserve">samtidig </w:t>
      </w:r>
      <w:r w:rsidR="001E29D1">
        <w:t>det er rart</w:t>
      </w:r>
      <w:r w:rsidR="008F36C0">
        <w:t>,</w:t>
      </w:r>
      <w:r w:rsidR="001E29D1">
        <w:t xml:space="preserve"> at så mange mennesker hjælper dem.</w:t>
      </w:r>
      <w:r w:rsidR="008F36C0">
        <w:t xml:space="preserve"> </w:t>
      </w:r>
    </w:p>
    <w:p w:rsidR="001E29D1" w:rsidRDefault="00AD24CD" w:rsidP="006A6F49">
      <w:pPr>
        <w:spacing w:after="120"/>
      </w:pPr>
      <w:proofErr w:type="gramStart"/>
      <w:r>
        <w:t>28%</w:t>
      </w:r>
      <w:proofErr w:type="gramEnd"/>
      <w:r>
        <w:t xml:space="preserve"> </w:t>
      </w:r>
      <w:r w:rsidR="00312D8F">
        <w:t xml:space="preserve">af deltagerne vælger </w:t>
      </w:r>
      <w:r w:rsidR="00FD1CD9">
        <w:t>selv at klare tingene</w:t>
      </w:r>
      <w:r w:rsidR="00312D8F">
        <w:t xml:space="preserve"> så godt de nu kan</w:t>
      </w:r>
      <w:r w:rsidR="004C6A0E">
        <w:t>,</w:t>
      </w:r>
      <w:r w:rsidR="00FD1CD9">
        <w:t xml:space="preserve"> fordi de ikke bryder sig om</w:t>
      </w:r>
      <w:r w:rsidR="004C6A0E">
        <w:t>,</w:t>
      </w:r>
      <w:r w:rsidR="00FD1CD9">
        <w:t xml:space="preserve"> at andre hjælper</w:t>
      </w:r>
      <w:r w:rsidR="00797ED8">
        <w:t>,</w:t>
      </w:r>
      <w:r w:rsidR="00FD1CD9">
        <w:t xml:space="preserve"> </w:t>
      </w:r>
      <w:r w:rsidR="008F36C0">
        <w:t>mens</w:t>
      </w:r>
      <w:r w:rsidR="00FD1CD9">
        <w:t xml:space="preserve"> </w:t>
      </w:r>
      <w:r w:rsidR="003C0ABE">
        <w:t>12%</w:t>
      </w:r>
      <w:r w:rsidR="00F73B31">
        <w:rPr>
          <w:i/>
          <w:iCs/>
        </w:rPr>
        <w:t xml:space="preserve"> </w:t>
      </w:r>
      <w:r w:rsidR="00FD1CD9">
        <w:t>synes</w:t>
      </w:r>
      <w:r w:rsidR="00797ED8">
        <w:t>,</w:t>
      </w:r>
      <w:r w:rsidR="00FA5AC8">
        <w:t xml:space="preserve"> </w:t>
      </w:r>
      <w:r w:rsidR="00312D8F">
        <w:t xml:space="preserve">at </w:t>
      </w:r>
      <w:r w:rsidR="00FA5AC8">
        <w:t xml:space="preserve">det </w:t>
      </w:r>
      <w:r w:rsidR="00312D8F">
        <w:t>ligef</w:t>
      </w:r>
      <w:r w:rsidR="00F73DF4">
        <w:t>r</w:t>
      </w:r>
      <w:r w:rsidR="00312D8F">
        <w:t xml:space="preserve">em </w:t>
      </w:r>
      <w:r w:rsidR="00FA5AC8">
        <w:t>er svært at tage i</w:t>
      </w:r>
      <w:r w:rsidR="00FD1CD9">
        <w:t>mod den</w:t>
      </w:r>
      <w:r w:rsidR="00B13997">
        <w:t xml:space="preserve"> hjælp, der bliver dem tilbudt.</w:t>
      </w:r>
    </w:p>
    <w:p w:rsidR="006C5737" w:rsidRDefault="00FA5AC8" w:rsidP="006A6F49">
      <w:pPr>
        <w:spacing w:after="120"/>
      </w:pPr>
      <w:r>
        <w:t xml:space="preserve">En </w:t>
      </w:r>
      <w:r w:rsidR="00FC3D02">
        <w:t>stor del af de døvbl</w:t>
      </w:r>
      <w:r>
        <w:t xml:space="preserve">inde deltagere i undersøgelsen </w:t>
      </w:r>
      <w:r w:rsidR="00FC3D02">
        <w:t>mener</w:t>
      </w:r>
      <w:r w:rsidR="00312D8F">
        <w:t xml:space="preserve"> altså</w:t>
      </w:r>
      <w:r w:rsidR="00FC3D02">
        <w:t xml:space="preserve">, </w:t>
      </w:r>
      <w:r w:rsidR="00312D8F">
        <w:t xml:space="preserve">at </w:t>
      </w:r>
      <w:r w:rsidR="00FC3D02">
        <w:t xml:space="preserve">de </w:t>
      </w:r>
      <w:r w:rsidR="00312D8F">
        <w:t xml:space="preserve">får </w:t>
      </w:r>
      <w:r w:rsidR="00FC3D02">
        <w:t>god hjælp fra andre.</w:t>
      </w:r>
      <w:r w:rsidR="006C5737">
        <w:t xml:space="preserve"> Der er lidt overlap </w:t>
      </w:r>
      <w:r w:rsidR="00D132DA">
        <w:t>vedrørende</w:t>
      </w:r>
      <w:r w:rsidR="006C5737">
        <w:t xml:space="preserve"> om man synes man får den hjælp</w:t>
      </w:r>
      <w:r w:rsidR="00D132DA">
        <w:t>,</w:t>
      </w:r>
      <w:r w:rsidR="006C5737">
        <w:t xml:space="preserve"> man har behov for</w:t>
      </w:r>
      <w:r w:rsidR="00D132DA">
        <w:t>,</w:t>
      </w:r>
      <w:r w:rsidR="006C5737">
        <w:t xml:space="preserve"> og om man har et større behov, men er tilfreds alligevel.</w:t>
      </w:r>
      <w:r w:rsidR="00FC3D02">
        <w:t xml:space="preserve"> </w:t>
      </w:r>
      <w:r w:rsidR="00F73DF4">
        <w:t xml:space="preserve">Ca. </w:t>
      </w:r>
      <w:proofErr w:type="gramStart"/>
      <w:r w:rsidR="00F73DF4">
        <w:t>48</w:t>
      </w:r>
      <w:r w:rsidR="006C5737">
        <w:t>%</w:t>
      </w:r>
      <w:proofErr w:type="gramEnd"/>
      <w:r w:rsidR="006C5737">
        <w:t xml:space="preserve"> synes</w:t>
      </w:r>
      <w:r w:rsidR="00D132DA">
        <w:t>,</w:t>
      </w:r>
      <w:r w:rsidR="006C5737">
        <w:t xml:space="preserve"> det er fint som det er, ca. 38% har et større behov, men er tilfredse og 15% mener de har et mærkbart større behov for hjælp</w:t>
      </w:r>
      <w:r w:rsidR="00D132DA">
        <w:t>,</w:t>
      </w:r>
      <w:r w:rsidR="006C5737">
        <w:t xml:space="preserve"> end hvad de får. </w:t>
      </w:r>
    </w:p>
    <w:p w:rsidR="00FA5AC8" w:rsidRDefault="00FC3D02" w:rsidP="006A6F49">
      <w:pPr>
        <w:spacing w:after="120"/>
      </w:pPr>
      <w:r>
        <w:t>Det er ikke alle, der synes</w:t>
      </w:r>
      <w:r w:rsidR="00D132DA">
        <w:t>,</w:t>
      </w:r>
      <w:r>
        <w:t xml:space="preserve"> det er lige nemt at modtage hjælpen</w:t>
      </w:r>
      <w:r w:rsidR="00D132DA">
        <w:t>,</w:t>
      </w:r>
      <w:r>
        <w:t xml:space="preserve"> og mange forsøger i stedet at klare tingene selv, hvilket </w:t>
      </w:r>
      <w:r w:rsidR="00FA5AC8">
        <w:t xml:space="preserve">kan være tegn på </w:t>
      </w:r>
      <w:r w:rsidR="00AD24CD">
        <w:t>tre</w:t>
      </w:r>
      <w:r w:rsidR="00FA5AC8">
        <w:t xml:space="preserve"> ting: </w:t>
      </w:r>
    </w:p>
    <w:p w:rsidR="00FA5AC8" w:rsidRDefault="004160AD" w:rsidP="006A6F49">
      <w:pPr>
        <w:spacing w:after="120"/>
      </w:pPr>
      <w:r>
        <w:lastRenderedPageBreak/>
        <w:t xml:space="preserve">1. </w:t>
      </w:r>
      <w:r w:rsidR="00FA5AC8">
        <w:t>A</w:t>
      </w:r>
      <w:r w:rsidR="00FC3D02">
        <w:t xml:space="preserve">t </w:t>
      </w:r>
      <w:r w:rsidR="00FA5AC8">
        <w:t xml:space="preserve">det kan være svært at livsomstille sig, når syns- og høretabet sætter ind. Hvis man ikke erkender sit syns- og høretab og den ændrede </w:t>
      </w:r>
      <w:r w:rsidR="001A710F">
        <w:t>livssituation</w:t>
      </w:r>
      <w:r w:rsidR="00FA5AC8">
        <w:t xml:space="preserve">, kan det være sværere at tage imod den hjælp, der kan give mere mobilitet, bedre overblik og bedre muligheder for fx social-liv og en aktiv tilværelse.  </w:t>
      </w:r>
    </w:p>
    <w:p w:rsidR="00A77C8D" w:rsidRDefault="004160AD" w:rsidP="006A6F49">
      <w:pPr>
        <w:spacing w:after="120"/>
      </w:pPr>
      <w:r>
        <w:t xml:space="preserve">2. </w:t>
      </w:r>
      <w:r w:rsidR="00A77C8D">
        <w:t>At man har mere tendens til at give op og acceptere tingenes begrænsede tilstand, når man er ældre og døvblind</w:t>
      </w:r>
      <w:r w:rsidR="0089567D">
        <w:t xml:space="preserve"> og ikke ved, hvad man går glip af</w:t>
      </w:r>
      <w:r w:rsidR="00A77C8D">
        <w:t xml:space="preserve">. </w:t>
      </w:r>
    </w:p>
    <w:p w:rsidR="00B731DB" w:rsidRPr="004160AD" w:rsidRDefault="004160AD" w:rsidP="006A6F49">
      <w:pPr>
        <w:spacing w:after="120"/>
        <w:rPr>
          <w:szCs w:val="36"/>
        </w:rPr>
      </w:pPr>
      <w:r>
        <w:t xml:space="preserve">3. </w:t>
      </w:r>
      <w:r w:rsidR="00FA5AC8">
        <w:t>At d</w:t>
      </w:r>
      <w:r w:rsidR="00FC3D02">
        <w:t xml:space="preserve">er </w:t>
      </w:r>
      <w:r w:rsidR="00FA5AC8">
        <w:t xml:space="preserve">er </w:t>
      </w:r>
      <w:r w:rsidR="00FC3D02">
        <w:t xml:space="preserve">et vist </w:t>
      </w:r>
      <w:proofErr w:type="spellStart"/>
      <w:r w:rsidR="00FC3D02">
        <w:t>gå-på-mod</w:t>
      </w:r>
      <w:proofErr w:type="spellEnd"/>
      <w:r w:rsidR="00FA5AC8">
        <w:t xml:space="preserve"> blandt ældre døvblinde</w:t>
      </w:r>
      <w:r w:rsidR="00312D8F">
        <w:t>.</w:t>
      </w:r>
      <w:r w:rsidR="00AD24CD">
        <w:t xml:space="preserve"> An</w:t>
      </w:r>
      <w:r w:rsidR="00AE066F">
        <w:t>dre undersøgel</w:t>
      </w:r>
      <w:r w:rsidR="00FA5AC8">
        <w:t>s</w:t>
      </w:r>
      <w:r w:rsidR="00AE066F">
        <w:t>e</w:t>
      </w:r>
      <w:r w:rsidR="00FA5AC8">
        <w:t>r</w:t>
      </w:r>
      <w:r w:rsidR="00AD24CD">
        <w:t xml:space="preserve"> </w:t>
      </w:r>
      <w:r w:rsidR="00FA5AC8">
        <w:t xml:space="preserve">har </w:t>
      </w:r>
      <w:r w:rsidR="00312D8F">
        <w:t xml:space="preserve">dog </w:t>
      </w:r>
      <w:r w:rsidR="00FA5AC8">
        <w:t>vist, at det kan være stressfyldt og begrænsende at være døvblind</w:t>
      </w:r>
      <w:r w:rsidR="00AD24CD">
        <w:t xml:space="preserve">, men noget kunne tyde på, at man som ældre døvblind hænger </w:t>
      </w:r>
      <w:r w:rsidR="00312D8F">
        <w:t>i, så godt man kan</w:t>
      </w:r>
      <w:r w:rsidR="00FA5AC8">
        <w:t>.</w:t>
      </w:r>
      <w:r w:rsidR="00AD24CD">
        <w:t xml:space="preserve"> Det er et vigtigt parameter at gøre sig bevist, da det kan have alvorlige konsekvenser for den enkelte at være under pres over længere tid. </w:t>
      </w:r>
      <w:r>
        <w:t>Det skal helst være acceptabelt at modtage den nødvendige hjælp fra andre samtidig med</w:t>
      </w:r>
      <w:r w:rsidR="00312D8F">
        <w:t xml:space="preserve">, at det naturligvis også kan give god </w:t>
      </w:r>
      <w:r>
        <w:t>livskvalitet at fortsætte med at gøre alt det man godt kan selv</w:t>
      </w:r>
      <w:r w:rsidR="00312D8F">
        <w:t>, så længe man kan</w:t>
      </w:r>
      <w:r>
        <w:t>.</w:t>
      </w:r>
    </w:p>
    <w:p w:rsidR="00153EAF" w:rsidRDefault="00153EAF" w:rsidP="006A6F49">
      <w:pPr>
        <w:pStyle w:val="Overskrift1"/>
        <w:spacing w:before="0" w:after="120"/>
      </w:pPr>
      <w:bookmarkStart w:id="26" w:name="_Toc419188687"/>
    </w:p>
    <w:p w:rsidR="00F73DF4" w:rsidRDefault="00A77C8D" w:rsidP="006A6F49">
      <w:pPr>
        <w:pStyle w:val="Overskrift1"/>
        <w:spacing w:before="0" w:after="120"/>
      </w:pPr>
      <w:bookmarkStart w:id="27" w:name="_Toc422474007"/>
      <w:bookmarkStart w:id="28" w:name="_Toc423342680"/>
      <w:r>
        <w:t>Konklusion:</w:t>
      </w:r>
      <w:bookmarkEnd w:id="28"/>
      <w:r>
        <w:t xml:space="preserve"> </w:t>
      </w:r>
    </w:p>
    <w:p w:rsidR="00FC3D02" w:rsidRPr="00FC3D02" w:rsidRDefault="00AC6B76" w:rsidP="006A6F49">
      <w:pPr>
        <w:pStyle w:val="Overskrift1"/>
        <w:spacing w:before="0" w:after="120"/>
      </w:pPr>
      <w:bookmarkStart w:id="29" w:name="_Toc423342681"/>
      <w:r>
        <w:t>Æ</w:t>
      </w:r>
      <w:r w:rsidR="003379F3" w:rsidRPr="003379F3">
        <w:t>ldre døvblindes virkelighed</w:t>
      </w:r>
      <w:bookmarkEnd w:id="26"/>
      <w:bookmarkEnd w:id="27"/>
      <w:bookmarkEnd w:id="29"/>
    </w:p>
    <w:p w:rsidR="0089567D" w:rsidRDefault="00D132DA" w:rsidP="006A6F49">
      <w:pPr>
        <w:spacing w:after="120"/>
      </w:pPr>
      <w:r>
        <w:t>Trivselsanalysen</w:t>
      </w:r>
      <w:r w:rsidR="00B46F96">
        <w:t xml:space="preserve"> </w:t>
      </w:r>
      <w:r>
        <w:t>’</w:t>
      </w:r>
      <w:r w:rsidR="00B46F96" w:rsidRPr="00A77C8D">
        <w:rPr>
          <w:bCs/>
        </w:rPr>
        <w:t xml:space="preserve">Ældre døvblindes </w:t>
      </w:r>
      <w:r>
        <w:rPr>
          <w:bCs/>
        </w:rPr>
        <w:t>virkelighed’</w:t>
      </w:r>
      <w:r w:rsidR="00B46F96" w:rsidRPr="00A77C8D">
        <w:t xml:space="preserve"> </w:t>
      </w:r>
      <w:r w:rsidR="00B46F96">
        <w:t>indikerer</w:t>
      </w:r>
      <w:r w:rsidR="00B46F96" w:rsidRPr="00A77C8D">
        <w:t>, at</w:t>
      </w:r>
      <w:r w:rsidR="00B46F96">
        <w:t xml:space="preserve"> </w:t>
      </w:r>
      <w:r w:rsidR="003916BD">
        <w:t>en del</w:t>
      </w:r>
      <w:r w:rsidR="00B46F96">
        <w:t xml:space="preserve"> ældre døvblinde er tilfredse med </w:t>
      </w:r>
      <w:r w:rsidR="003916BD">
        <w:t>mange</w:t>
      </w:r>
      <w:r w:rsidR="00B46F96">
        <w:t xml:space="preserve"> områder af deres tilværelse.</w:t>
      </w:r>
      <w:r w:rsidR="006E66DF">
        <w:t xml:space="preserve"> </w:t>
      </w:r>
      <w:r w:rsidR="00B46F96">
        <w:t xml:space="preserve">Der er dog flere faktorer, som </w:t>
      </w:r>
      <w:r w:rsidR="006E66DF">
        <w:t>må</w:t>
      </w:r>
      <w:r w:rsidR="00B46F96">
        <w:t xml:space="preserve"> tage</w:t>
      </w:r>
      <w:r w:rsidR="006E66DF">
        <w:t>s</w:t>
      </w:r>
      <w:r w:rsidR="00B46F96">
        <w:t xml:space="preserve"> med i regnestykket, før man kan lave den endelige konklusion.</w:t>
      </w:r>
      <w:r w:rsidR="0089567D" w:rsidRPr="0089567D">
        <w:t xml:space="preserve"> </w:t>
      </w:r>
    </w:p>
    <w:p w:rsidR="00F31C36" w:rsidRDefault="009F02DC" w:rsidP="006A6F49">
      <w:pPr>
        <w:spacing w:after="120"/>
      </w:pPr>
      <w:r>
        <w:t xml:space="preserve">Der er som nævnt tidligere en stor gruppe af ældre døvblinde, som ikke kommer i </w:t>
      </w:r>
      <w:proofErr w:type="spellStart"/>
      <w:r>
        <w:t>erfagrupperne</w:t>
      </w:r>
      <w:proofErr w:type="spellEnd"/>
      <w:r>
        <w:t xml:space="preserve"> og derfor ikke har været med i denne </w:t>
      </w:r>
      <w:r w:rsidR="003916BD">
        <w:t xml:space="preserve">undersøgelse. Da de ikke kan komme i </w:t>
      </w:r>
      <w:proofErr w:type="spellStart"/>
      <w:r w:rsidR="003916BD">
        <w:t>erfagruppe</w:t>
      </w:r>
      <w:proofErr w:type="spellEnd"/>
      <w:r w:rsidR="003916BD">
        <w:t xml:space="preserve">, kan vi konkludere, at de er de mest udsatte og nok lever i generelt større isolation og med færre muligheder, end dem, som undersøgelsen har været i kontakt med. </w:t>
      </w:r>
    </w:p>
    <w:p w:rsidR="00B46F96" w:rsidRDefault="003916BD" w:rsidP="006A6F49">
      <w:pPr>
        <w:spacing w:after="120"/>
      </w:pPr>
      <w:r>
        <w:t xml:space="preserve">Vi bliver også nødt til at regne en ’værdigheds-faktor’ med i konklusionen. </w:t>
      </w:r>
      <w:r w:rsidR="006E66DF">
        <w:t xml:space="preserve">Det kan være svært at tage imod hjælp – især for den ældre generation. At blive døvblind er ikke en ønske-situation for nogen, og der kan </w:t>
      </w:r>
      <w:r>
        <w:t xml:space="preserve">hos mange </w:t>
      </w:r>
      <w:r w:rsidR="006E66DF">
        <w:t xml:space="preserve">være et </w:t>
      </w:r>
      <w:r>
        <w:t xml:space="preserve">ubevidst </w:t>
      </w:r>
      <w:r w:rsidR="006E66DF">
        <w:t xml:space="preserve">ønske om at holde handicappet og dets </w:t>
      </w:r>
      <w:r>
        <w:t xml:space="preserve">alvorlige </w:t>
      </w:r>
      <w:r w:rsidR="006E66DF">
        <w:t xml:space="preserve">konsekvenser skjult for omgivelserne – ganske enkelt for at bevare </w:t>
      </w:r>
      <w:r w:rsidR="00B813BD">
        <w:t xml:space="preserve">sin </w:t>
      </w:r>
      <w:r w:rsidR="006E66DF">
        <w:t>værdighed. Det er e</w:t>
      </w:r>
      <w:r w:rsidR="00DC1E6C">
        <w:t>t</w:t>
      </w:r>
      <w:r w:rsidR="006E66DF">
        <w:t xml:space="preserve"> parameter, som det i sagens natur er svær</w:t>
      </w:r>
      <w:r>
        <w:t>t</w:t>
      </w:r>
      <w:r w:rsidR="006E66DF">
        <w:t xml:space="preserve"> at spørge ind til gennem en</w:t>
      </w:r>
      <w:r>
        <w:t xml:space="preserve"> undersøgelse, men som er almen</w:t>
      </w:r>
      <w:r w:rsidR="006E66DF">
        <w:t xml:space="preserve">kendt i døvblindeverdenen. </w:t>
      </w:r>
      <w:r w:rsidR="00DC1E6C">
        <w:t xml:space="preserve">Det er </w:t>
      </w:r>
      <w:r w:rsidR="00DC1E6C">
        <w:lastRenderedPageBreak/>
        <w:t xml:space="preserve">netop en af grundene til, at FDDB har oprettet lokale </w:t>
      </w:r>
      <w:proofErr w:type="spellStart"/>
      <w:r w:rsidR="00DC1E6C">
        <w:t>erfagrupper</w:t>
      </w:r>
      <w:proofErr w:type="spellEnd"/>
      <w:r w:rsidR="00DC1E6C">
        <w:t xml:space="preserve">, hvor man sammen </w:t>
      </w:r>
      <w:r>
        <w:t>kan se situationen i øjnene og ved udveksling af erfaringer lærer a</w:t>
      </w:r>
      <w:r w:rsidR="00DC1E6C">
        <w:t xml:space="preserve">t </w:t>
      </w:r>
      <w:r>
        <w:t xml:space="preserve">erkende sit handicap og </w:t>
      </w:r>
      <w:r w:rsidR="00DC1E6C">
        <w:t xml:space="preserve">tage imod hjælp uden at miste sin værdighed.   </w:t>
      </w:r>
    </w:p>
    <w:p w:rsidR="006464A8" w:rsidRDefault="006464A8" w:rsidP="006A6F49">
      <w:pPr>
        <w:spacing w:after="120"/>
      </w:pPr>
      <w:r>
        <w:t>At ældre døvblinde ikke føler, de har brug for hjælp kan også være et udtryk for, at de ikke længere</w:t>
      </w:r>
      <w:r w:rsidR="00F73DF4">
        <w:t xml:space="preserve"> magter at følge med i samfunds</w:t>
      </w:r>
      <w:r>
        <w:t xml:space="preserve">udviklingen eller indgå i meningsfulde sociale sammenhænge og delvist har givet op. Det kan godt føles som en umiddelbart tilfredsstillende situation for den enkelte, men set udefra kunne man ønske, at ældre døvblinde turde råbe lidt mere op og stå ved de behov, de fleste mennesker har for et velfungerende social-liv, mere motion og aktivitet samt undervisning indenfor it og digitalisering. Ellers er der en stor risiko for, at den ældre generation af døvblinde bliver sat helt af udviklingen. </w:t>
      </w:r>
    </w:p>
    <w:p w:rsidR="00071F36" w:rsidRDefault="00071F36" w:rsidP="006A6F49">
      <w:pPr>
        <w:spacing w:after="120"/>
      </w:pPr>
      <w:r>
        <w:t>I FDDB har vi oplevet, at det er forbundet med store udfordringer for den enkelte ældre døvblind</w:t>
      </w:r>
      <w:r w:rsidR="003916BD">
        <w:t>e</w:t>
      </w:r>
      <w:r>
        <w:t xml:space="preserve"> at komme med på den digitale bølge. I denne undersøgelse bekræftes denne oplevelse. Der er en del information og kontakt med omverden, </w:t>
      </w:r>
      <w:r w:rsidR="00B813BD">
        <w:t>man dermed</w:t>
      </w:r>
      <w:r>
        <w:t xml:space="preserve"> går glip af. Det er et område</w:t>
      </w:r>
      <w:r w:rsidR="009F02DC">
        <w:t>,</w:t>
      </w:r>
      <w:r>
        <w:t xml:space="preserve"> som ser ud til at kræve en del opmærksomhed, </w:t>
      </w:r>
      <w:r w:rsidR="009F02DC">
        <w:t xml:space="preserve">da </w:t>
      </w:r>
      <w:r>
        <w:t xml:space="preserve">vi </w:t>
      </w:r>
      <w:r w:rsidR="009F02DC">
        <w:t>risikerer at miste</w:t>
      </w:r>
      <w:r>
        <w:t xml:space="preserve"> en sto</w:t>
      </w:r>
      <w:r w:rsidR="009F02DC">
        <w:t xml:space="preserve">r gruppe på gulvet i den stadige strøm af </w:t>
      </w:r>
      <w:r>
        <w:t xml:space="preserve">digitale løsninger. </w:t>
      </w:r>
      <w:r w:rsidR="003D11F9">
        <w:t xml:space="preserve">Det er ikke en umulig opgave. Som undersøgelsen viser, </w:t>
      </w:r>
      <w:r w:rsidR="003D11F9">
        <w:lastRenderedPageBreak/>
        <w:t>kan de fleste ældre døvblind</w:t>
      </w:r>
      <w:r w:rsidR="009F02DC">
        <w:t>e</w:t>
      </w:r>
      <w:r w:rsidR="003D11F9">
        <w:t xml:space="preserve"> selv gå</w:t>
      </w:r>
      <w:r w:rsidR="009F02DC">
        <w:t xml:space="preserve"> på internettet og bruge </w:t>
      </w:r>
      <w:r w:rsidR="003D11F9">
        <w:t xml:space="preserve">mail. Det </w:t>
      </w:r>
      <w:r w:rsidR="00B813BD">
        <w:t>skyldes bl.a.</w:t>
      </w:r>
      <w:r w:rsidR="003916BD">
        <w:t>,</w:t>
      </w:r>
      <w:r w:rsidR="003D11F9">
        <w:t xml:space="preserve"> </w:t>
      </w:r>
      <w:r w:rsidR="00B813BD">
        <w:t xml:space="preserve">at </w:t>
      </w:r>
      <w:r w:rsidR="003D11F9">
        <w:t xml:space="preserve">FDDB tilbyder særlig hjælp fra uddannede døvblinde instruktører, der </w:t>
      </w:r>
      <w:r w:rsidR="0028201C">
        <w:t>kan tilpasse</w:t>
      </w:r>
      <w:r w:rsidR="009F02DC">
        <w:t xml:space="preserve"> udstyret til</w:t>
      </w:r>
      <w:r w:rsidR="0028201C">
        <w:t xml:space="preserve"> den enkeltes behov</w:t>
      </w:r>
      <w:r w:rsidR="0076401A">
        <w:t xml:space="preserve"> samt give en-til-en instruktion</w:t>
      </w:r>
      <w:r w:rsidR="0028201C">
        <w:t>. Denne funktion kunne meget vel udvides til at indbefatte hjælp til de digitale løsninger som Nem-id, Netbank og e-boks. Det vil</w:t>
      </w:r>
      <w:r w:rsidR="006464A8">
        <w:t xml:space="preserve"> dog</w:t>
      </w:r>
      <w:r w:rsidR="0028201C">
        <w:t xml:space="preserve"> kræve en sto</w:t>
      </w:r>
      <w:r w:rsidR="0076401A">
        <w:t>r portion ressourcer, hvis det</w:t>
      </w:r>
      <w:r w:rsidR="0028201C">
        <w:t xml:space="preserve"> skal lykkes.</w:t>
      </w:r>
      <w:r w:rsidR="003D11F9">
        <w:t xml:space="preserve">  </w:t>
      </w:r>
    </w:p>
    <w:p w:rsidR="00305E3A" w:rsidRDefault="00305E3A" w:rsidP="006A6F49">
      <w:pPr>
        <w:spacing w:after="120"/>
      </w:pPr>
      <w:r>
        <w:t xml:space="preserve">Som det tyder på i denne undersøgelse har det </w:t>
      </w:r>
      <w:r w:rsidR="0028201C">
        <w:t xml:space="preserve">også </w:t>
      </w:r>
      <w:r>
        <w:t>haft positiv effekt for ældre døvblinde, at man i FDDB har haft øget fokus på sundhed de sidste år. Det viser sig</w:t>
      </w:r>
      <w:r w:rsidR="0028201C">
        <w:t>,</w:t>
      </w:r>
      <w:r>
        <w:t xml:space="preserve"> at ganske mange får motion og går ture. Det kan konkluderes</w:t>
      </w:r>
      <w:r w:rsidR="0028201C">
        <w:t>,</w:t>
      </w:r>
      <w:r>
        <w:t xml:space="preserve"> at det har indflydelse, når der sættes ind med særlige indsatser på et område. Tidligere syn</w:t>
      </w:r>
      <w:r w:rsidR="00B813BD">
        <w:t>t</w:t>
      </w:r>
      <w:r>
        <w:t xml:space="preserve">es det at kombinere døvblindhed med motion og bevægelse at være uforenelige, men det viser sig ikke at være tilfældet længere. På samme måde kunne en øget fokusering på den digitale verden udmønte sig i en lignende forbedring af forholdet for ældre døvblind, hvis der vel og mærke blev sat ind med en tilpasset og særlig indsats. </w:t>
      </w:r>
    </w:p>
    <w:p w:rsidR="006100A1" w:rsidRDefault="006100A1" w:rsidP="006A6F49">
      <w:pPr>
        <w:spacing w:after="120"/>
      </w:pPr>
    </w:p>
    <w:p w:rsidR="006100A1" w:rsidRPr="00F73DF4" w:rsidRDefault="006100A1" w:rsidP="006A6F49">
      <w:pPr>
        <w:spacing w:after="120"/>
        <w:rPr>
          <w:i/>
          <w:iCs/>
          <w:sz w:val="34"/>
          <w:szCs w:val="34"/>
        </w:rPr>
      </w:pPr>
      <w:r w:rsidRPr="00F73DF4">
        <w:rPr>
          <w:i/>
          <w:iCs/>
          <w:sz w:val="34"/>
          <w:szCs w:val="34"/>
        </w:rPr>
        <w:t>Trivselsan</w:t>
      </w:r>
      <w:r w:rsidR="00101530" w:rsidRPr="00F73DF4">
        <w:rPr>
          <w:i/>
          <w:iCs/>
          <w:sz w:val="34"/>
          <w:szCs w:val="34"/>
        </w:rPr>
        <w:t>a</w:t>
      </w:r>
      <w:r w:rsidRPr="00F73DF4">
        <w:rPr>
          <w:i/>
          <w:iCs/>
          <w:sz w:val="34"/>
          <w:szCs w:val="34"/>
        </w:rPr>
        <w:t xml:space="preserve">lysen er udarbejdet af </w:t>
      </w:r>
    </w:p>
    <w:p w:rsidR="006100A1" w:rsidRPr="00F73DF4" w:rsidRDefault="006100A1" w:rsidP="00F73DF4">
      <w:pPr>
        <w:spacing w:after="120"/>
        <w:jc w:val="left"/>
        <w:rPr>
          <w:i/>
          <w:iCs/>
          <w:sz w:val="34"/>
          <w:szCs w:val="34"/>
        </w:rPr>
      </w:pPr>
      <w:r w:rsidRPr="00F73DF4">
        <w:rPr>
          <w:i/>
          <w:iCs/>
          <w:sz w:val="34"/>
          <w:szCs w:val="34"/>
        </w:rPr>
        <w:t xml:space="preserve">Ældreudvalget i Foreningen Danske </w:t>
      </w:r>
      <w:proofErr w:type="spellStart"/>
      <w:r w:rsidRPr="00F73DF4">
        <w:rPr>
          <w:i/>
          <w:iCs/>
          <w:sz w:val="34"/>
          <w:szCs w:val="34"/>
        </w:rPr>
        <w:t>DøvBlinde</w:t>
      </w:r>
      <w:proofErr w:type="spellEnd"/>
      <w:r w:rsidRPr="00F73DF4">
        <w:rPr>
          <w:i/>
          <w:iCs/>
          <w:sz w:val="34"/>
          <w:szCs w:val="34"/>
        </w:rPr>
        <w:t>, 2015</w:t>
      </w:r>
    </w:p>
    <w:p w:rsidR="006100A1" w:rsidRDefault="006100A1" w:rsidP="006100A1">
      <w:pPr>
        <w:spacing w:after="120"/>
      </w:pPr>
      <w:r>
        <w:rPr>
          <w:i/>
          <w:iCs/>
          <w:noProof/>
          <w:lang w:eastAsia="da-DK" w:bidi="ne-NP"/>
        </w:rPr>
        <w:drawing>
          <wp:anchor distT="0" distB="0" distL="114300" distR="114300" simplePos="0" relativeHeight="251661312" behindDoc="1" locked="0" layoutInCell="1" allowOverlap="1">
            <wp:simplePos x="0" y="0"/>
            <wp:positionH relativeFrom="column">
              <wp:posOffset>5080</wp:posOffset>
            </wp:positionH>
            <wp:positionV relativeFrom="paragraph">
              <wp:posOffset>224155</wp:posOffset>
            </wp:positionV>
            <wp:extent cx="1808480" cy="835025"/>
            <wp:effectExtent l="0" t="0" r="1270" b="3175"/>
            <wp:wrapTight wrapText="bothSides">
              <wp:wrapPolygon edited="0">
                <wp:start x="0" y="0"/>
                <wp:lineTo x="0" y="21189"/>
                <wp:lineTo x="21388" y="21189"/>
                <wp:lineTo x="21388"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DB logo rgb lil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8480" cy="835025"/>
                    </a:xfrm>
                    <a:prstGeom prst="rect">
                      <a:avLst/>
                    </a:prstGeom>
                  </pic:spPr>
                </pic:pic>
              </a:graphicData>
            </a:graphic>
            <wp14:sizeRelH relativeFrom="page">
              <wp14:pctWidth>0</wp14:pctWidth>
            </wp14:sizeRelH>
            <wp14:sizeRelV relativeFrom="page">
              <wp14:pctHeight>0</wp14:pctHeight>
            </wp14:sizeRelV>
          </wp:anchor>
        </w:drawing>
      </w:r>
    </w:p>
    <w:sectPr w:rsidR="006100A1" w:rsidSect="00D02C37">
      <w:footerReference w:type="default" r:id="rId10"/>
      <w:pgSz w:w="11906" w:h="16838"/>
      <w:pgMar w:top="1701" w:right="127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2" w:rsidRDefault="00922992" w:rsidP="00517D0B">
      <w:pPr>
        <w:spacing w:after="0" w:line="240" w:lineRule="auto"/>
      </w:pPr>
      <w:r>
        <w:separator/>
      </w:r>
    </w:p>
  </w:endnote>
  <w:endnote w:type="continuationSeparator" w:id="0">
    <w:p w:rsidR="00922992" w:rsidRDefault="00922992" w:rsidP="0051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40712"/>
      <w:docPartObj>
        <w:docPartGallery w:val="Page Numbers (Bottom of Page)"/>
        <w:docPartUnique/>
      </w:docPartObj>
    </w:sdtPr>
    <w:sdtEndPr/>
    <w:sdtContent>
      <w:p w:rsidR="00143AFB" w:rsidRDefault="00143AFB">
        <w:pPr>
          <w:pStyle w:val="Sidefod"/>
          <w:jc w:val="center"/>
        </w:pPr>
        <w:r>
          <w:fldChar w:fldCharType="begin"/>
        </w:r>
        <w:r>
          <w:instrText>PAGE   \* MERGEFORMAT</w:instrText>
        </w:r>
        <w:r>
          <w:fldChar w:fldCharType="separate"/>
        </w:r>
        <w:r w:rsidR="00EB71B0">
          <w:rPr>
            <w:noProof/>
          </w:rPr>
          <w:t>2</w:t>
        </w:r>
        <w:r>
          <w:fldChar w:fldCharType="end"/>
        </w:r>
      </w:p>
    </w:sdtContent>
  </w:sdt>
  <w:p w:rsidR="0089567D" w:rsidRPr="0089567D" w:rsidRDefault="0089567D" w:rsidP="0089567D">
    <w:pPr>
      <w:pStyle w:val="Sidefo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2" w:rsidRDefault="00922992" w:rsidP="00517D0B">
      <w:pPr>
        <w:spacing w:after="0" w:line="240" w:lineRule="auto"/>
      </w:pPr>
      <w:r>
        <w:separator/>
      </w:r>
    </w:p>
  </w:footnote>
  <w:footnote w:type="continuationSeparator" w:id="0">
    <w:p w:rsidR="00922992" w:rsidRDefault="00922992" w:rsidP="00517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1F"/>
    <w:multiLevelType w:val="hybridMultilevel"/>
    <w:tmpl w:val="2CB8EA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21A698D"/>
    <w:multiLevelType w:val="hybridMultilevel"/>
    <w:tmpl w:val="6E7E3F18"/>
    <w:lvl w:ilvl="0" w:tplc="0406000F">
      <w:start w:val="1"/>
      <w:numFmt w:val="decimal"/>
      <w:lvlText w:val="%1."/>
      <w:lvlJc w:val="left"/>
      <w:pPr>
        <w:ind w:left="78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61766DA"/>
    <w:multiLevelType w:val="hybridMultilevel"/>
    <w:tmpl w:val="AA9C96E4"/>
    <w:lvl w:ilvl="0" w:tplc="32A2BEC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3545A70"/>
    <w:multiLevelType w:val="hybridMultilevel"/>
    <w:tmpl w:val="6A76B6A6"/>
    <w:lvl w:ilvl="0" w:tplc="A8C4DF60">
      <w:start w:val="1"/>
      <w:numFmt w:val="bullet"/>
      <w:lvlText w:val=""/>
      <w:lvlJc w:val="left"/>
      <w:pPr>
        <w:ind w:left="720" w:hanging="360"/>
      </w:pPr>
      <w:rPr>
        <w:rFonts w:ascii="Symbol" w:hAnsi="Symbol" w:hint="default"/>
        <w:b/>
        <w:i w:val="0"/>
        <w:color w:val="31849B" w:themeColor="accent5" w:themeShade="BF"/>
        <w:sz w:val="4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38"/>
    <w:rsid w:val="0002331E"/>
    <w:rsid w:val="00024316"/>
    <w:rsid w:val="00032E3D"/>
    <w:rsid w:val="00046981"/>
    <w:rsid w:val="000640DD"/>
    <w:rsid w:val="000661CA"/>
    <w:rsid w:val="00071F36"/>
    <w:rsid w:val="00080903"/>
    <w:rsid w:val="00085D25"/>
    <w:rsid w:val="000A658E"/>
    <w:rsid w:val="000A70A1"/>
    <w:rsid w:val="000E5082"/>
    <w:rsid w:val="00101530"/>
    <w:rsid w:val="001056E9"/>
    <w:rsid w:val="00122699"/>
    <w:rsid w:val="00143AFB"/>
    <w:rsid w:val="00151ACF"/>
    <w:rsid w:val="00153EAF"/>
    <w:rsid w:val="001A442D"/>
    <w:rsid w:val="001A710F"/>
    <w:rsid w:val="001E29D1"/>
    <w:rsid w:val="001F5B45"/>
    <w:rsid w:val="002103E5"/>
    <w:rsid w:val="0021767D"/>
    <w:rsid w:val="00230FCA"/>
    <w:rsid w:val="00240A59"/>
    <w:rsid w:val="00271FEB"/>
    <w:rsid w:val="0028201C"/>
    <w:rsid w:val="002A417C"/>
    <w:rsid w:val="002A74B8"/>
    <w:rsid w:val="00305E3A"/>
    <w:rsid w:val="00312D8F"/>
    <w:rsid w:val="00333BB7"/>
    <w:rsid w:val="003379F3"/>
    <w:rsid w:val="003422EC"/>
    <w:rsid w:val="0038712B"/>
    <w:rsid w:val="003916BD"/>
    <w:rsid w:val="003A3B24"/>
    <w:rsid w:val="003C0ABE"/>
    <w:rsid w:val="003C421A"/>
    <w:rsid w:val="003D0C6D"/>
    <w:rsid w:val="003D11F9"/>
    <w:rsid w:val="003E12A6"/>
    <w:rsid w:val="003F552E"/>
    <w:rsid w:val="00401115"/>
    <w:rsid w:val="00406FDE"/>
    <w:rsid w:val="004160AD"/>
    <w:rsid w:val="004212D5"/>
    <w:rsid w:val="004349D9"/>
    <w:rsid w:val="0043789F"/>
    <w:rsid w:val="00455682"/>
    <w:rsid w:val="004B2445"/>
    <w:rsid w:val="004C6A0E"/>
    <w:rsid w:val="004E1D38"/>
    <w:rsid w:val="004F0FFF"/>
    <w:rsid w:val="00517D0B"/>
    <w:rsid w:val="00523EDD"/>
    <w:rsid w:val="00543011"/>
    <w:rsid w:val="00557A7D"/>
    <w:rsid w:val="00574E4D"/>
    <w:rsid w:val="005A1D4B"/>
    <w:rsid w:val="00605301"/>
    <w:rsid w:val="00606DB2"/>
    <w:rsid w:val="006100A1"/>
    <w:rsid w:val="006464A8"/>
    <w:rsid w:val="0069629A"/>
    <w:rsid w:val="006A6F49"/>
    <w:rsid w:val="006C5737"/>
    <w:rsid w:val="006C7F53"/>
    <w:rsid w:val="006E66DF"/>
    <w:rsid w:val="0071294D"/>
    <w:rsid w:val="0076401A"/>
    <w:rsid w:val="00790B65"/>
    <w:rsid w:val="00797ED8"/>
    <w:rsid w:val="007C514D"/>
    <w:rsid w:val="007C6389"/>
    <w:rsid w:val="00833E58"/>
    <w:rsid w:val="008560F4"/>
    <w:rsid w:val="0089567D"/>
    <w:rsid w:val="008F35D6"/>
    <w:rsid w:val="008F36C0"/>
    <w:rsid w:val="00906DA8"/>
    <w:rsid w:val="00922992"/>
    <w:rsid w:val="009501E7"/>
    <w:rsid w:val="009A27C4"/>
    <w:rsid w:val="009A28F5"/>
    <w:rsid w:val="009C5874"/>
    <w:rsid w:val="009C5B43"/>
    <w:rsid w:val="009D3119"/>
    <w:rsid w:val="009D7CD3"/>
    <w:rsid w:val="009E7C51"/>
    <w:rsid w:val="009F02DC"/>
    <w:rsid w:val="00A00002"/>
    <w:rsid w:val="00A3766F"/>
    <w:rsid w:val="00A42E85"/>
    <w:rsid w:val="00A77C8D"/>
    <w:rsid w:val="00A85AC7"/>
    <w:rsid w:val="00AC57D5"/>
    <w:rsid w:val="00AC6B76"/>
    <w:rsid w:val="00AD24CD"/>
    <w:rsid w:val="00AD7FE6"/>
    <w:rsid w:val="00AE066F"/>
    <w:rsid w:val="00B13997"/>
    <w:rsid w:val="00B32132"/>
    <w:rsid w:val="00B40031"/>
    <w:rsid w:val="00B46F96"/>
    <w:rsid w:val="00B731DB"/>
    <w:rsid w:val="00B73BD9"/>
    <w:rsid w:val="00B813BD"/>
    <w:rsid w:val="00B82D36"/>
    <w:rsid w:val="00B91D98"/>
    <w:rsid w:val="00B96AD6"/>
    <w:rsid w:val="00BB0168"/>
    <w:rsid w:val="00BE4EDC"/>
    <w:rsid w:val="00C01EAD"/>
    <w:rsid w:val="00C42C62"/>
    <w:rsid w:val="00C55A75"/>
    <w:rsid w:val="00C6679D"/>
    <w:rsid w:val="00CA18AA"/>
    <w:rsid w:val="00CB69F6"/>
    <w:rsid w:val="00D02C37"/>
    <w:rsid w:val="00D132DA"/>
    <w:rsid w:val="00D33A0A"/>
    <w:rsid w:val="00D51B38"/>
    <w:rsid w:val="00D66DC9"/>
    <w:rsid w:val="00D96BFE"/>
    <w:rsid w:val="00DB5E62"/>
    <w:rsid w:val="00DC1E6C"/>
    <w:rsid w:val="00DD0AD6"/>
    <w:rsid w:val="00DD33F2"/>
    <w:rsid w:val="00DD4961"/>
    <w:rsid w:val="00DD7BBF"/>
    <w:rsid w:val="00E233C5"/>
    <w:rsid w:val="00E851D7"/>
    <w:rsid w:val="00EB71B0"/>
    <w:rsid w:val="00ED0449"/>
    <w:rsid w:val="00F31C36"/>
    <w:rsid w:val="00F41F2D"/>
    <w:rsid w:val="00F474F9"/>
    <w:rsid w:val="00F73B31"/>
    <w:rsid w:val="00F73DF4"/>
    <w:rsid w:val="00F9305C"/>
    <w:rsid w:val="00FA5AC8"/>
    <w:rsid w:val="00FB71B7"/>
    <w:rsid w:val="00FC3D02"/>
    <w:rsid w:val="00FD1CD9"/>
    <w:rsid w:val="00FE4AA3"/>
  </w:rsids>
  <m:mathPr>
    <m:mathFont m:val="Cambria Math"/>
    <m:brkBin m:val="before"/>
    <m:brkBinSub m:val="--"/>
    <m:smallFrac m:val="0"/>
    <m:dispDef/>
    <m:lMargin m:val="0"/>
    <m:rMargin m:val="0"/>
    <m:defJc m:val="centerGroup"/>
    <m:wrapIndent m:val="1440"/>
    <m:intLim m:val="subSup"/>
    <m:naryLim m:val="undOvr"/>
  </m:mathPr>
  <w:themeFontLang w:val="da-DK" w:bidi="ne-N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65"/>
    <w:pPr>
      <w:jc w:val="both"/>
    </w:pPr>
    <w:rPr>
      <w:rFonts w:ascii="Arial" w:hAnsi="Arial"/>
      <w:b/>
      <w:sz w:val="36"/>
    </w:rPr>
  </w:style>
  <w:style w:type="paragraph" w:styleId="Overskrift1">
    <w:name w:val="heading 1"/>
    <w:basedOn w:val="Normal"/>
    <w:next w:val="Normal"/>
    <w:link w:val="Overskrift1Tegn"/>
    <w:uiPriority w:val="9"/>
    <w:qFormat/>
    <w:rsid w:val="00790B65"/>
    <w:pPr>
      <w:keepNext/>
      <w:keepLines/>
      <w:spacing w:before="480" w:after="0"/>
      <w:outlineLvl w:val="0"/>
    </w:pPr>
    <w:rPr>
      <w:rFonts w:ascii="Tahoma" w:eastAsiaTheme="majorEastAsia" w:hAnsi="Tahoma" w:cstheme="majorBidi"/>
      <w:bCs/>
      <w:sz w:val="4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E1D38"/>
    <w:pPr>
      <w:ind w:left="720"/>
      <w:contextualSpacing/>
    </w:pPr>
  </w:style>
  <w:style w:type="paragraph" w:styleId="Titel">
    <w:name w:val="Title"/>
    <w:basedOn w:val="Normal"/>
    <w:next w:val="Normal"/>
    <w:link w:val="TitelTegn"/>
    <w:uiPriority w:val="10"/>
    <w:qFormat/>
    <w:rsid w:val="004E1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E1D38"/>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517D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7D0B"/>
  </w:style>
  <w:style w:type="paragraph" w:styleId="Sidefod">
    <w:name w:val="footer"/>
    <w:basedOn w:val="Normal"/>
    <w:link w:val="SidefodTegn"/>
    <w:uiPriority w:val="99"/>
    <w:unhideWhenUsed/>
    <w:rsid w:val="00517D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7D0B"/>
  </w:style>
  <w:style w:type="paragraph" w:styleId="Markeringsbobletekst">
    <w:name w:val="Balloon Text"/>
    <w:basedOn w:val="Normal"/>
    <w:link w:val="MarkeringsbobletekstTegn"/>
    <w:uiPriority w:val="99"/>
    <w:semiHidden/>
    <w:unhideWhenUsed/>
    <w:rsid w:val="00517D0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7D0B"/>
    <w:rPr>
      <w:rFonts w:ascii="Tahoma" w:hAnsi="Tahoma" w:cs="Tahoma"/>
      <w:sz w:val="16"/>
      <w:szCs w:val="16"/>
    </w:rPr>
  </w:style>
  <w:style w:type="character" w:customStyle="1" w:styleId="Overskrift1Tegn">
    <w:name w:val="Overskrift 1 Tegn"/>
    <w:basedOn w:val="Standardskrifttypeiafsnit"/>
    <w:link w:val="Overskrift1"/>
    <w:uiPriority w:val="9"/>
    <w:rsid w:val="00790B65"/>
    <w:rPr>
      <w:rFonts w:ascii="Tahoma" w:eastAsiaTheme="majorEastAsia" w:hAnsi="Tahoma" w:cstheme="majorBidi"/>
      <w:b/>
      <w:bCs/>
      <w:sz w:val="48"/>
      <w:szCs w:val="28"/>
    </w:rPr>
  </w:style>
  <w:style w:type="paragraph" w:styleId="Indholdsfortegnelse1">
    <w:name w:val="toc 1"/>
    <w:basedOn w:val="Normal"/>
    <w:next w:val="Normal"/>
    <w:autoRedefine/>
    <w:uiPriority w:val="39"/>
    <w:unhideWhenUsed/>
    <w:rsid w:val="00B731DB"/>
    <w:pPr>
      <w:spacing w:after="100"/>
    </w:pPr>
  </w:style>
  <w:style w:type="paragraph" w:styleId="Overskrift">
    <w:name w:val="TOC Heading"/>
    <w:basedOn w:val="Overskrift1"/>
    <w:next w:val="Normal"/>
    <w:uiPriority w:val="39"/>
    <w:unhideWhenUsed/>
    <w:qFormat/>
    <w:rsid w:val="00143AFB"/>
    <w:pPr>
      <w:outlineLvl w:val="9"/>
    </w:pPr>
    <w:rPr>
      <w:lang w:eastAsia="da-DK"/>
    </w:rPr>
  </w:style>
  <w:style w:type="character" w:styleId="Hyperlink">
    <w:name w:val="Hyperlink"/>
    <w:basedOn w:val="Standardskrifttypeiafsnit"/>
    <w:uiPriority w:val="99"/>
    <w:unhideWhenUsed/>
    <w:rsid w:val="00143AFB"/>
    <w:rPr>
      <w:color w:val="0000FF" w:themeColor="hyperlink"/>
      <w:u w:val="single"/>
    </w:rPr>
  </w:style>
  <w:style w:type="character" w:styleId="Kommentarhenvisning">
    <w:name w:val="annotation reference"/>
    <w:basedOn w:val="Standardskrifttypeiafsnit"/>
    <w:uiPriority w:val="99"/>
    <w:semiHidden/>
    <w:unhideWhenUsed/>
    <w:rsid w:val="00B73BD9"/>
    <w:rPr>
      <w:sz w:val="16"/>
      <w:szCs w:val="16"/>
    </w:rPr>
  </w:style>
  <w:style w:type="paragraph" w:styleId="Kommentartekst">
    <w:name w:val="annotation text"/>
    <w:basedOn w:val="Normal"/>
    <w:link w:val="KommentartekstTegn"/>
    <w:uiPriority w:val="99"/>
    <w:semiHidden/>
    <w:unhideWhenUsed/>
    <w:rsid w:val="00B73BD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3BD9"/>
    <w:rPr>
      <w:sz w:val="20"/>
      <w:szCs w:val="20"/>
    </w:rPr>
  </w:style>
  <w:style w:type="paragraph" w:styleId="Kommentaremne">
    <w:name w:val="annotation subject"/>
    <w:basedOn w:val="Kommentartekst"/>
    <w:next w:val="Kommentartekst"/>
    <w:link w:val="KommentaremneTegn"/>
    <w:uiPriority w:val="99"/>
    <w:semiHidden/>
    <w:unhideWhenUsed/>
    <w:rsid w:val="00B73BD9"/>
    <w:rPr>
      <w:b w:val="0"/>
      <w:bCs/>
    </w:rPr>
  </w:style>
  <w:style w:type="character" w:customStyle="1" w:styleId="KommentaremneTegn">
    <w:name w:val="Kommentaremne Tegn"/>
    <w:basedOn w:val="KommentartekstTegn"/>
    <w:link w:val="Kommentaremne"/>
    <w:uiPriority w:val="99"/>
    <w:semiHidden/>
    <w:rsid w:val="00B73B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65"/>
    <w:pPr>
      <w:jc w:val="both"/>
    </w:pPr>
    <w:rPr>
      <w:rFonts w:ascii="Arial" w:hAnsi="Arial"/>
      <w:b/>
      <w:sz w:val="36"/>
    </w:rPr>
  </w:style>
  <w:style w:type="paragraph" w:styleId="Overskrift1">
    <w:name w:val="heading 1"/>
    <w:basedOn w:val="Normal"/>
    <w:next w:val="Normal"/>
    <w:link w:val="Overskrift1Tegn"/>
    <w:uiPriority w:val="9"/>
    <w:qFormat/>
    <w:rsid w:val="00790B65"/>
    <w:pPr>
      <w:keepNext/>
      <w:keepLines/>
      <w:spacing w:before="480" w:after="0"/>
      <w:outlineLvl w:val="0"/>
    </w:pPr>
    <w:rPr>
      <w:rFonts w:ascii="Tahoma" w:eastAsiaTheme="majorEastAsia" w:hAnsi="Tahoma" w:cstheme="majorBidi"/>
      <w:bCs/>
      <w:sz w:val="4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E1D38"/>
    <w:pPr>
      <w:ind w:left="720"/>
      <w:contextualSpacing/>
    </w:pPr>
  </w:style>
  <w:style w:type="paragraph" w:styleId="Titel">
    <w:name w:val="Title"/>
    <w:basedOn w:val="Normal"/>
    <w:next w:val="Normal"/>
    <w:link w:val="TitelTegn"/>
    <w:uiPriority w:val="10"/>
    <w:qFormat/>
    <w:rsid w:val="004E1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E1D38"/>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517D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7D0B"/>
  </w:style>
  <w:style w:type="paragraph" w:styleId="Sidefod">
    <w:name w:val="footer"/>
    <w:basedOn w:val="Normal"/>
    <w:link w:val="SidefodTegn"/>
    <w:uiPriority w:val="99"/>
    <w:unhideWhenUsed/>
    <w:rsid w:val="00517D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7D0B"/>
  </w:style>
  <w:style w:type="paragraph" w:styleId="Markeringsbobletekst">
    <w:name w:val="Balloon Text"/>
    <w:basedOn w:val="Normal"/>
    <w:link w:val="MarkeringsbobletekstTegn"/>
    <w:uiPriority w:val="99"/>
    <w:semiHidden/>
    <w:unhideWhenUsed/>
    <w:rsid w:val="00517D0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7D0B"/>
    <w:rPr>
      <w:rFonts w:ascii="Tahoma" w:hAnsi="Tahoma" w:cs="Tahoma"/>
      <w:sz w:val="16"/>
      <w:szCs w:val="16"/>
    </w:rPr>
  </w:style>
  <w:style w:type="character" w:customStyle="1" w:styleId="Overskrift1Tegn">
    <w:name w:val="Overskrift 1 Tegn"/>
    <w:basedOn w:val="Standardskrifttypeiafsnit"/>
    <w:link w:val="Overskrift1"/>
    <w:uiPriority w:val="9"/>
    <w:rsid w:val="00790B65"/>
    <w:rPr>
      <w:rFonts w:ascii="Tahoma" w:eastAsiaTheme="majorEastAsia" w:hAnsi="Tahoma" w:cstheme="majorBidi"/>
      <w:b/>
      <w:bCs/>
      <w:sz w:val="48"/>
      <w:szCs w:val="28"/>
    </w:rPr>
  </w:style>
  <w:style w:type="paragraph" w:styleId="Indholdsfortegnelse1">
    <w:name w:val="toc 1"/>
    <w:basedOn w:val="Normal"/>
    <w:next w:val="Normal"/>
    <w:autoRedefine/>
    <w:uiPriority w:val="39"/>
    <w:unhideWhenUsed/>
    <w:rsid w:val="00B731DB"/>
    <w:pPr>
      <w:spacing w:after="100"/>
    </w:pPr>
  </w:style>
  <w:style w:type="paragraph" w:styleId="Overskrift">
    <w:name w:val="TOC Heading"/>
    <w:basedOn w:val="Overskrift1"/>
    <w:next w:val="Normal"/>
    <w:uiPriority w:val="39"/>
    <w:unhideWhenUsed/>
    <w:qFormat/>
    <w:rsid w:val="00143AFB"/>
    <w:pPr>
      <w:outlineLvl w:val="9"/>
    </w:pPr>
    <w:rPr>
      <w:lang w:eastAsia="da-DK"/>
    </w:rPr>
  </w:style>
  <w:style w:type="character" w:styleId="Hyperlink">
    <w:name w:val="Hyperlink"/>
    <w:basedOn w:val="Standardskrifttypeiafsnit"/>
    <w:uiPriority w:val="99"/>
    <w:unhideWhenUsed/>
    <w:rsid w:val="00143AFB"/>
    <w:rPr>
      <w:color w:val="0000FF" w:themeColor="hyperlink"/>
      <w:u w:val="single"/>
    </w:rPr>
  </w:style>
  <w:style w:type="character" w:styleId="Kommentarhenvisning">
    <w:name w:val="annotation reference"/>
    <w:basedOn w:val="Standardskrifttypeiafsnit"/>
    <w:uiPriority w:val="99"/>
    <w:semiHidden/>
    <w:unhideWhenUsed/>
    <w:rsid w:val="00B73BD9"/>
    <w:rPr>
      <w:sz w:val="16"/>
      <w:szCs w:val="16"/>
    </w:rPr>
  </w:style>
  <w:style w:type="paragraph" w:styleId="Kommentartekst">
    <w:name w:val="annotation text"/>
    <w:basedOn w:val="Normal"/>
    <w:link w:val="KommentartekstTegn"/>
    <w:uiPriority w:val="99"/>
    <w:semiHidden/>
    <w:unhideWhenUsed/>
    <w:rsid w:val="00B73BD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3BD9"/>
    <w:rPr>
      <w:sz w:val="20"/>
      <w:szCs w:val="20"/>
    </w:rPr>
  </w:style>
  <w:style w:type="paragraph" w:styleId="Kommentaremne">
    <w:name w:val="annotation subject"/>
    <w:basedOn w:val="Kommentartekst"/>
    <w:next w:val="Kommentartekst"/>
    <w:link w:val="KommentaremneTegn"/>
    <w:uiPriority w:val="99"/>
    <w:semiHidden/>
    <w:unhideWhenUsed/>
    <w:rsid w:val="00B73BD9"/>
    <w:rPr>
      <w:b w:val="0"/>
      <w:bCs/>
    </w:rPr>
  </w:style>
  <w:style w:type="character" w:customStyle="1" w:styleId="KommentaremneTegn">
    <w:name w:val="Kommentaremne Tegn"/>
    <w:basedOn w:val="KommentartekstTegn"/>
    <w:link w:val="Kommentaremne"/>
    <w:uiPriority w:val="99"/>
    <w:semiHidden/>
    <w:rsid w:val="00B73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8925">
      <w:bodyDiv w:val="1"/>
      <w:marLeft w:val="0"/>
      <w:marRight w:val="0"/>
      <w:marTop w:val="0"/>
      <w:marBottom w:val="0"/>
      <w:divBdr>
        <w:top w:val="none" w:sz="0" w:space="0" w:color="auto"/>
        <w:left w:val="none" w:sz="0" w:space="0" w:color="auto"/>
        <w:bottom w:val="none" w:sz="0" w:space="0" w:color="auto"/>
        <w:right w:val="none" w:sz="0" w:space="0" w:color="auto"/>
      </w:divBdr>
    </w:div>
    <w:div w:id="401568167">
      <w:bodyDiv w:val="1"/>
      <w:marLeft w:val="0"/>
      <w:marRight w:val="0"/>
      <w:marTop w:val="0"/>
      <w:marBottom w:val="0"/>
      <w:divBdr>
        <w:top w:val="none" w:sz="0" w:space="0" w:color="auto"/>
        <w:left w:val="none" w:sz="0" w:space="0" w:color="auto"/>
        <w:bottom w:val="none" w:sz="0" w:space="0" w:color="auto"/>
        <w:right w:val="none" w:sz="0" w:space="0" w:color="auto"/>
      </w:divBdr>
      <w:divsChild>
        <w:div w:id="97606166">
          <w:marLeft w:val="0"/>
          <w:marRight w:val="0"/>
          <w:marTop w:val="0"/>
          <w:marBottom w:val="0"/>
          <w:divBdr>
            <w:top w:val="none" w:sz="0" w:space="0" w:color="auto"/>
            <w:left w:val="none" w:sz="0" w:space="0" w:color="auto"/>
            <w:bottom w:val="none" w:sz="0" w:space="0" w:color="auto"/>
            <w:right w:val="none" w:sz="0" w:space="0" w:color="auto"/>
          </w:divBdr>
          <w:divsChild>
            <w:div w:id="382140850">
              <w:marLeft w:val="0"/>
              <w:marRight w:val="0"/>
              <w:marTop w:val="0"/>
              <w:marBottom w:val="0"/>
              <w:divBdr>
                <w:top w:val="none" w:sz="0" w:space="0" w:color="auto"/>
                <w:left w:val="none" w:sz="0" w:space="0" w:color="auto"/>
                <w:bottom w:val="none" w:sz="0" w:space="0" w:color="auto"/>
                <w:right w:val="none" w:sz="0" w:space="0" w:color="auto"/>
              </w:divBdr>
              <w:divsChild>
                <w:div w:id="2069377582">
                  <w:marLeft w:val="0"/>
                  <w:marRight w:val="0"/>
                  <w:marTop w:val="150"/>
                  <w:marBottom w:val="0"/>
                  <w:divBdr>
                    <w:top w:val="none" w:sz="0" w:space="0" w:color="auto"/>
                    <w:left w:val="none" w:sz="0" w:space="0" w:color="auto"/>
                    <w:bottom w:val="none" w:sz="0" w:space="0" w:color="auto"/>
                    <w:right w:val="none" w:sz="0" w:space="0" w:color="auto"/>
                  </w:divBdr>
                  <w:divsChild>
                    <w:div w:id="327251059">
                      <w:marLeft w:val="0"/>
                      <w:marRight w:val="300"/>
                      <w:marTop w:val="0"/>
                      <w:marBottom w:val="0"/>
                      <w:divBdr>
                        <w:top w:val="none" w:sz="0" w:space="0" w:color="auto"/>
                        <w:left w:val="none" w:sz="0" w:space="0" w:color="auto"/>
                        <w:bottom w:val="none" w:sz="0" w:space="0" w:color="auto"/>
                        <w:right w:val="none" w:sz="0" w:space="0" w:color="auto"/>
                      </w:divBdr>
                      <w:divsChild>
                        <w:div w:id="2045862863">
                          <w:marLeft w:val="0"/>
                          <w:marRight w:val="0"/>
                          <w:marTop w:val="0"/>
                          <w:marBottom w:val="0"/>
                          <w:divBdr>
                            <w:top w:val="none" w:sz="0" w:space="0" w:color="auto"/>
                            <w:left w:val="none" w:sz="0" w:space="0" w:color="auto"/>
                            <w:bottom w:val="none" w:sz="0" w:space="0" w:color="auto"/>
                            <w:right w:val="none" w:sz="0" w:space="0" w:color="auto"/>
                          </w:divBdr>
                          <w:divsChild>
                            <w:div w:id="920212255">
                              <w:marLeft w:val="0"/>
                              <w:marRight w:val="0"/>
                              <w:marTop w:val="0"/>
                              <w:marBottom w:val="0"/>
                              <w:divBdr>
                                <w:top w:val="none" w:sz="0" w:space="0" w:color="auto"/>
                                <w:left w:val="none" w:sz="0" w:space="0" w:color="auto"/>
                                <w:bottom w:val="none" w:sz="0" w:space="0" w:color="auto"/>
                                <w:right w:val="none" w:sz="0" w:space="0" w:color="auto"/>
                              </w:divBdr>
                              <w:divsChild>
                                <w:div w:id="7463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65371">
      <w:bodyDiv w:val="1"/>
      <w:marLeft w:val="0"/>
      <w:marRight w:val="0"/>
      <w:marTop w:val="0"/>
      <w:marBottom w:val="0"/>
      <w:divBdr>
        <w:top w:val="none" w:sz="0" w:space="0" w:color="auto"/>
        <w:left w:val="none" w:sz="0" w:space="0" w:color="auto"/>
        <w:bottom w:val="none" w:sz="0" w:space="0" w:color="auto"/>
        <w:right w:val="none" w:sz="0" w:space="0" w:color="auto"/>
      </w:divBdr>
    </w:div>
    <w:div w:id="17588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0C81-A8F0-45D3-B87C-C3EB23C5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2786</Words>
  <Characters>16999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RAPPORT - trivselsanalysen Ældre døvblindes virkelighed - LILLE SKRIFT</vt:lpstr>
    </vt:vector>
  </TitlesOfParts>
  <Company>FDDB</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 trivselsanalysen Ældre døvblindes virkelighed - LILLE SKRIFT</dc:title>
  <dc:creator>Dorte Skipper Martinussen - FDDB</dc:creator>
  <cp:lastModifiedBy>Pia Hesse - FDDB</cp:lastModifiedBy>
  <cp:revision>5</cp:revision>
  <cp:lastPrinted>2015-06-26T12:22:00Z</cp:lastPrinted>
  <dcterms:created xsi:type="dcterms:W3CDTF">2015-06-26T12:24:00Z</dcterms:created>
  <dcterms:modified xsi:type="dcterms:W3CDTF">2015-06-29T10:02:00Z</dcterms:modified>
</cp:coreProperties>
</file>