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7" w:rsidRDefault="001D4FC1" w:rsidP="00EF2177">
      <w:pPr>
        <w:spacing w:after="0"/>
        <w:rPr>
          <w:rFonts w:ascii="Tahoma" w:hAnsi="Tahoma" w:cs="Tahoma"/>
          <w:b/>
          <w:bCs/>
          <w:sz w:val="48"/>
          <w:szCs w:val="36"/>
        </w:rPr>
      </w:pPr>
      <w:r w:rsidRPr="00EF2177">
        <w:rPr>
          <w:rFonts w:ascii="Tahoma" w:hAnsi="Tahoma" w:cs="Tahoma"/>
          <w:b/>
          <w:bCs/>
          <w:sz w:val="48"/>
          <w:szCs w:val="36"/>
        </w:rPr>
        <w:t xml:space="preserve">Kontaktpersonordning </w:t>
      </w:r>
    </w:p>
    <w:p w:rsidR="001D4FC1" w:rsidRPr="00EF2177" w:rsidRDefault="001D4FC1" w:rsidP="00EF2177">
      <w:pPr>
        <w:spacing w:after="0"/>
        <w:rPr>
          <w:rFonts w:ascii="Tahoma" w:hAnsi="Tahoma" w:cs="Tahoma"/>
          <w:b/>
          <w:bCs/>
          <w:sz w:val="48"/>
          <w:szCs w:val="36"/>
        </w:rPr>
      </w:pPr>
      <w:r w:rsidRPr="00EF2177">
        <w:rPr>
          <w:rFonts w:ascii="Tahoma" w:hAnsi="Tahoma" w:cs="Tahoma"/>
          <w:b/>
          <w:bCs/>
          <w:sz w:val="48"/>
          <w:szCs w:val="36"/>
        </w:rPr>
        <w:t>for døvblinde</w:t>
      </w:r>
    </w:p>
    <w:p w:rsidR="001D4FC1" w:rsidRPr="00EF2177" w:rsidRDefault="001D4FC1" w:rsidP="001D4FC1">
      <w:pPr>
        <w:rPr>
          <w:rFonts w:ascii="Arial" w:hAnsi="Arial" w:cs="Arial"/>
          <w:b/>
          <w:bCs/>
          <w:i/>
          <w:sz w:val="32"/>
          <w:szCs w:val="32"/>
        </w:rPr>
      </w:pPr>
      <w:r w:rsidRPr="00EF2177">
        <w:rPr>
          <w:rFonts w:ascii="Arial" w:hAnsi="Arial" w:cs="Arial"/>
          <w:b/>
          <w:i/>
          <w:sz w:val="32"/>
          <w:szCs w:val="32"/>
        </w:rPr>
        <w:t xml:space="preserve">Information til dig og dine pårørende 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1D4FC1">
        <w:rPr>
          <w:rFonts w:ascii="Arial" w:hAnsi="Arial" w:cs="Arial"/>
          <w:b/>
          <w:bCs/>
          <w:sz w:val="30"/>
          <w:szCs w:val="30"/>
        </w:rPr>
        <w:t>“Kommunen yder i fornødent omfang hjælp i form af en særlig kontaktperson til personer, som er døvblinde.” (Serviceloven § 98)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Når du er døvblind og har behov for kontaktperson, har du sammen med din døvblindekonsulent vurderet, hvor mange timer, du har brug for og til hvilke formål.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Døvblindekonsulenten har sammen med dig lavet en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ansøgning til kommunen, der nu har bevilget kontaktperson-ordningen.</w:t>
      </w:r>
      <w:bookmarkStart w:id="0" w:name="_GoBack"/>
      <w:bookmarkEnd w:id="0"/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 xml:space="preserve">Kontaktpersonen bliver ansat af kommunen og følger 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kommunens løn</w:t>
      </w:r>
      <w:r w:rsidR="001D4FC1" w:rsidRPr="001D4FC1">
        <w:rPr>
          <w:rFonts w:ascii="Arial" w:hAnsi="Arial" w:cs="Arial"/>
          <w:b/>
          <w:sz w:val="30"/>
          <w:szCs w:val="30"/>
        </w:rPr>
        <w:t>-</w:t>
      </w:r>
      <w:r w:rsidRPr="001D4FC1">
        <w:rPr>
          <w:rFonts w:ascii="Arial" w:hAnsi="Arial" w:cs="Arial"/>
          <w:b/>
          <w:sz w:val="30"/>
          <w:szCs w:val="30"/>
        </w:rPr>
        <w:t xml:space="preserve"> og ansættelsesforhold.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 xml:space="preserve">Døvblindekonsulenten støtter dig i brugen af ordningen og 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proofErr w:type="gramStart"/>
      <w:r w:rsidRPr="001D4FC1">
        <w:rPr>
          <w:rFonts w:ascii="Arial" w:hAnsi="Arial" w:cs="Arial"/>
          <w:b/>
          <w:sz w:val="30"/>
          <w:szCs w:val="30"/>
        </w:rPr>
        <w:t>varetager undervisning og supervision af kontaktpersonen.</w:t>
      </w:r>
      <w:proofErr w:type="gramEnd"/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1D4FC1">
        <w:rPr>
          <w:rFonts w:ascii="Arial" w:hAnsi="Arial" w:cs="Arial"/>
          <w:b/>
          <w:bCs/>
          <w:sz w:val="30"/>
          <w:szCs w:val="30"/>
          <w:u w:val="single"/>
        </w:rPr>
        <w:t>Ordningen i praksis</w:t>
      </w:r>
    </w:p>
    <w:p w:rsidR="00696ADA" w:rsidRPr="001D4FC1" w:rsidRDefault="00696ADA" w:rsidP="00696ADA">
      <w:pPr>
        <w:spacing w:after="0" w:line="240" w:lineRule="auto"/>
        <w:ind w:left="362" w:hanging="362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Bevillingen er typisk delt i ugentlige timer og puljetimer.</w:t>
      </w:r>
    </w:p>
    <w:p w:rsidR="00696ADA" w:rsidRPr="001D4FC1" w:rsidRDefault="00696ADA" w:rsidP="00696ADA">
      <w:pPr>
        <w:spacing w:after="0" w:line="240" w:lineRule="auto"/>
        <w:ind w:left="362" w:hanging="362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Det er dit ansvar, eventuelt sammen med kontaktpersonen, at holde styr på timerne.</w:t>
      </w:r>
    </w:p>
    <w:p w:rsidR="00696ADA" w:rsidRPr="001D4FC1" w:rsidRDefault="00696ADA" w:rsidP="00696A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 xml:space="preserve">Du planlægger dine aktiviteter i samarbejde med </w:t>
      </w:r>
      <w:proofErr w:type="spellStart"/>
      <w:r w:rsidRPr="001D4FC1">
        <w:rPr>
          <w:rFonts w:ascii="Arial" w:hAnsi="Arial" w:cs="Arial"/>
          <w:b/>
          <w:sz w:val="30"/>
          <w:szCs w:val="30"/>
        </w:rPr>
        <w:t>kontakt-personen</w:t>
      </w:r>
      <w:proofErr w:type="spellEnd"/>
      <w:r w:rsidRPr="001D4FC1">
        <w:rPr>
          <w:rFonts w:ascii="Arial" w:hAnsi="Arial" w:cs="Arial"/>
          <w:b/>
          <w:sz w:val="30"/>
          <w:szCs w:val="30"/>
        </w:rPr>
        <w:t>. Mange vælger at holde styr på aktiviteter og timer med en kalender.</w:t>
      </w:r>
    </w:p>
    <w:p w:rsidR="00696ADA" w:rsidRPr="001D4FC1" w:rsidRDefault="00696ADA" w:rsidP="00696A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Snak jævnligt med kontaktpersonen om jeres samarbejde.</w:t>
      </w:r>
    </w:p>
    <w:p w:rsidR="00696ADA" w:rsidRPr="001D4FC1" w:rsidRDefault="00696ADA" w:rsidP="00696A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Det er vigtigt, at aftaler laves i god tid.</w:t>
      </w:r>
    </w:p>
    <w:p w:rsidR="00696ADA" w:rsidRPr="001D4FC1" w:rsidRDefault="00696ADA" w:rsidP="00696A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Kontaktpersonen giver i god tid besked om ferie og kurser, så du kan indrette dig på anden vis i perioden.</w:t>
      </w:r>
    </w:p>
    <w:p w:rsidR="004F7577" w:rsidRDefault="004F7577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lastRenderedPageBreak/>
        <w:t xml:space="preserve">Kontaktpersonen er kort sagt bindeled til omgivelserne og kan orientere dig om det, der interesserer dig, gennem oplæsning, samtale, synsbeskrivelse og </w:t>
      </w:r>
      <w:proofErr w:type="spellStart"/>
      <w:r w:rsidRPr="001D4FC1">
        <w:rPr>
          <w:rFonts w:ascii="Arial" w:hAnsi="Arial" w:cs="Arial"/>
          <w:b/>
          <w:sz w:val="30"/>
          <w:szCs w:val="30"/>
        </w:rPr>
        <w:t>haptiske</w:t>
      </w:r>
      <w:proofErr w:type="spellEnd"/>
      <w:r w:rsidRPr="001D4FC1">
        <w:rPr>
          <w:rFonts w:ascii="Arial" w:hAnsi="Arial" w:cs="Arial"/>
          <w:b/>
          <w:sz w:val="30"/>
          <w:szCs w:val="30"/>
        </w:rPr>
        <w:t xml:space="preserve"> signaler, både i og uden for hjemmet.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1D4FC1">
        <w:rPr>
          <w:rFonts w:ascii="Arial" w:hAnsi="Arial" w:cs="Arial"/>
          <w:b/>
          <w:sz w:val="30"/>
          <w:szCs w:val="30"/>
          <w:u w:val="single"/>
        </w:rPr>
        <w:t>Almindelig praktisk bistand i hjemmet hører ikke med til de funktioner, som kontaktpersonen skal udføre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696ADA" w:rsidRPr="001D4FC1" w:rsidRDefault="00696ADA" w:rsidP="00696A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 xml:space="preserve">Kontaktpersonen må fortælle dig, hvor der er snavset og om der er pletter på tøjet, MEN må ikke gøre rent. </w:t>
      </w:r>
    </w:p>
    <w:p w:rsidR="00696ADA" w:rsidRPr="001D4FC1" w:rsidRDefault="00696ADA" w:rsidP="00696A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Kontaktpersonen må ledsage dig og fortælle om varer og priser og støtte i betalingen, MEN må ikke gå på indkøb eller i banken uden dig.</w:t>
      </w:r>
    </w:p>
    <w:p w:rsidR="00696ADA" w:rsidRPr="001D4FC1" w:rsidRDefault="00696ADA" w:rsidP="00696A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 xml:space="preserve">Kontaktpersonen må ringe, tale eller skrive for dig, MEN må ikke overtage ansvaret. </w:t>
      </w:r>
    </w:p>
    <w:p w:rsidR="00696ADA" w:rsidRPr="001D4FC1" w:rsidRDefault="00696ADA" w:rsidP="00696ADA">
      <w:pPr>
        <w:spacing w:after="0" w:line="240" w:lineRule="auto"/>
        <w:ind w:left="362" w:hanging="362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ind w:left="362" w:hanging="362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Kontaktpersonen må ikke have nøgle til dit hjem.</w:t>
      </w:r>
    </w:p>
    <w:p w:rsidR="00696ADA" w:rsidRPr="001D4FC1" w:rsidRDefault="00696ADA" w:rsidP="00696ADA">
      <w:pPr>
        <w:spacing w:after="0" w:line="240" w:lineRule="auto"/>
        <w:ind w:left="362" w:hanging="362"/>
        <w:rPr>
          <w:rStyle w:val="TypografiArial"/>
          <w:b/>
          <w:sz w:val="30"/>
          <w:szCs w:val="30"/>
        </w:rPr>
      </w:pPr>
      <w:r w:rsidRPr="001D4FC1">
        <w:rPr>
          <w:rStyle w:val="TypografiArial"/>
          <w:b/>
          <w:sz w:val="30"/>
          <w:szCs w:val="30"/>
        </w:rPr>
        <w:t xml:space="preserve">Som ansat i kommunen må kontaktpersonen ikke </w:t>
      </w:r>
    </w:p>
    <w:p w:rsidR="00696ADA" w:rsidRPr="001D4FC1" w:rsidRDefault="00696ADA" w:rsidP="00696ADA">
      <w:pPr>
        <w:spacing w:after="0" w:line="240" w:lineRule="auto"/>
        <w:ind w:left="362" w:hanging="362"/>
        <w:rPr>
          <w:rFonts w:ascii="Arial" w:hAnsi="Arial" w:cs="Arial"/>
          <w:b/>
          <w:sz w:val="30"/>
          <w:szCs w:val="30"/>
        </w:rPr>
      </w:pPr>
      <w:proofErr w:type="gramStart"/>
      <w:r w:rsidRPr="001D4FC1">
        <w:rPr>
          <w:rStyle w:val="TypografiArial"/>
          <w:b/>
          <w:sz w:val="30"/>
          <w:szCs w:val="30"/>
        </w:rPr>
        <w:t>modtage arv og gaver.</w:t>
      </w:r>
      <w:proofErr w:type="gramEnd"/>
    </w:p>
    <w:p w:rsidR="00696ADA" w:rsidRPr="001D4FC1" w:rsidRDefault="00696ADA" w:rsidP="00696ADA">
      <w:pPr>
        <w:spacing w:after="0" w:line="240" w:lineRule="auto"/>
        <w:ind w:left="362" w:hanging="362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1D4FC1">
        <w:rPr>
          <w:rFonts w:ascii="Arial" w:hAnsi="Arial" w:cs="Arial"/>
          <w:b/>
          <w:bCs/>
          <w:sz w:val="30"/>
          <w:szCs w:val="30"/>
          <w:u w:val="single"/>
        </w:rPr>
        <w:t>Tavshedspligt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 xml:space="preserve">Som kommunal ansat har kontaktpersonen tavshedspligt. 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1D4FC1">
        <w:rPr>
          <w:rFonts w:ascii="Arial" w:hAnsi="Arial" w:cs="Arial"/>
          <w:b/>
          <w:bCs/>
          <w:sz w:val="30"/>
          <w:szCs w:val="30"/>
          <w:u w:val="single"/>
        </w:rPr>
        <w:t>Opfølgning af ordningen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Bevillingen gælder normalt et år ad gangen. Mindst en gang om året følges der op på ordningen af døvblindekonsulenten og eventuelt den kommunale sagsbehandler.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1D4FC1">
        <w:rPr>
          <w:rFonts w:ascii="Arial" w:hAnsi="Arial" w:cs="Arial"/>
          <w:b/>
          <w:bCs/>
          <w:sz w:val="30"/>
          <w:szCs w:val="30"/>
          <w:u w:val="single"/>
        </w:rPr>
        <w:t>Spørgsmål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1D4FC1">
        <w:rPr>
          <w:rFonts w:ascii="Arial" w:hAnsi="Arial" w:cs="Arial"/>
          <w:b/>
          <w:sz w:val="30"/>
          <w:szCs w:val="30"/>
        </w:rPr>
        <w:t>Opstår der uklarheder i ordningen, er du altid velkommen til at kontakte døvblindekonsulenten. Han eller hun har overblik over, hvordan din kommune organiserer ordningen.</w:t>
      </w:r>
    </w:p>
    <w:p w:rsidR="00696ADA" w:rsidRPr="001D4FC1" w:rsidRDefault="00696ADA" w:rsidP="00696ADA">
      <w:pPr>
        <w:spacing w:after="0" w:line="240" w:lineRule="auto"/>
        <w:rPr>
          <w:rFonts w:ascii="Arial" w:hAnsi="Arial" w:cs="Arial"/>
          <w:b/>
          <w:i/>
          <w:sz w:val="30"/>
          <w:szCs w:val="30"/>
        </w:rPr>
      </w:pPr>
    </w:p>
    <w:p w:rsidR="00C6417F" w:rsidRPr="001D4FC1" w:rsidRDefault="00696ADA" w:rsidP="004F7577">
      <w:pPr>
        <w:spacing w:after="0" w:line="240" w:lineRule="auto"/>
        <w:rPr>
          <w:sz w:val="30"/>
          <w:szCs w:val="30"/>
        </w:rPr>
      </w:pPr>
      <w:r w:rsidRPr="001D4FC1">
        <w:rPr>
          <w:rFonts w:ascii="Arial" w:hAnsi="Arial" w:cs="Arial"/>
          <w:b/>
          <w:i/>
          <w:sz w:val="30"/>
          <w:szCs w:val="30"/>
        </w:rPr>
        <w:t>Kommunen er ansvarlig fo</w:t>
      </w:r>
      <w:r w:rsidR="00E1351A">
        <w:rPr>
          <w:rFonts w:ascii="Arial" w:hAnsi="Arial" w:cs="Arial"/>
          <w:b/>
          <w:i/>
          <w:sz w:val="30"/>
          <w:szCs w:val="30"/>
        </w:rPr>
        <w:t>r, at deres borgere får den nød</w:t>
      </w:r>
      <w:r w:rsidRPr="001D4FC1">
        <w:rPr>
          <w:rFonts w:ascii="Arial" w:hAnsi="Arial" w:cs="Arial"/>
          <w:b/>
          <w:i/>
          <w:sz w:val="30"/>
          <w:szCs w:val="30"/>
        </w:rPr>
        <w:t xml:space="preserve">vendige rådgivning. Kommunen har indgået aftale med </w:t>
      </w:r>
      <w:proofErr w:type="spellStart"/>
      <w:r w:rsidRPr="001D4FC1">
        <w:rPr>
          <w:rFonts w:ascii="Arial" w:hAnsi="Arial" w:cs="Arial"/>
          <w:b/>
          <w:i/>
          <w:sz w:val="30"/>
          <w:szCs w:val="30"/>
        </w:rPr>
        <w:t>CFD’s</w:t>
      </w:r>
      <w:proofErr w:type="spellEnd"/>
      <w:r w:rsidRPr="001D4FC1">
        <w:rPr>
          <w:rFonts w:ascii="Arial" w:hAnsi="Arial" w:cs="Arial"/>
          <w:b/>
          <w:i/>
          <w:sz w:val="30"/>
          <w:szCs w:val="30"/>
        </w:rPr>
        <w:t xml:space="preserve"> døvblindekonsulentordning om at yde specialrådgivning for borgere med døvblindhed, herunder at sikre en bæredygtig kontaktpersonordning.</w:t>
      </w:r>
    </w:p>
    <w:sectPr w:rsidR="00C6417F" w:rsidRPr="001D4FC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EA" w:rsidRDefault="008631EA" w:rsidP="008631EA">
      <w:pPr>
        <w:spacing w:after="0" w:line="240" w:lineRule="auto"/>
      </w:pPr>
      <w:r>
        <w:separator/>
      </w:r>
    </w:p>
  </w:endnote>
  <w:endnote w:type="continuationSeparator" w:id="0">
    <w:p w:rsidR="008631EA" w:rsidRDefault="008631EA" w:rsidP="0086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EA" w:rsidRDefault="008631EA" w:rsidP="008631EA">
      <w:pPr>
        <w:spacing w:after="0" w:line="240" w:lineRule="auto"/>
      </w:pPr>
      <w:r>
        <w:separator/>
      </w:r>
    </w:p>
  </w:footnote>
  <w:footnote w:type="continuationSeparator" w:id="0">
    <w:p w:rsidR="008631EA" w:rsidRDefault="008631EA" w:rsidP="0086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EA" w:rsidRDefault="008631E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039E720" wp14:editId="086496FD">
          <wp:simplePos x="0" y="0"/>
          <wp:positionH relativeFrom="column">
            <wp:posOffset>4330700</wp:posOffset>
          </wp:positionH>
          <wp:positionV relativeFrom="paragraph">
            <wp:posOffset>-144780</wp:posOffset>
          </wp:positionV>
          <wp:extent cx="2660904" cy="862584"/>
          <wp:effectExtent l="0" t="0" r="0" b="0"/>
          <wp:wrapTight wrapText="bothSides">
            <wp:wrapPolygon edited="0">
              <wp:start x="0" y="0"/>
              <wp:lineTo x="0" y="20996"/>
              <wp:lineTo x="21497" y="20996"/>
              <wp:lineTo x="21497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b.logo til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904" cy="8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B7"/>
    <w:multiLevelType w:val="hybridMultilevel"/>
    <w:tmpl w:val="D5EE8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92C"/>
    <w:multiLevelType w:val="hybridMultilevel"/>
    <w:tmpl w:val="E22C6C7E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DA"/>
    <w:rsid w:val="001D4FC1"/>
    <w:rsid w:val="004F7577"/>
    <w:rsid w:val="00696ADA"/>
    <w:rsid w:val="006C1EC8"/>
    <w:rsid w:val="008631EA"/>
    <w:rsid w:val="00C64236"/>
    <w:rsid w:val="00E1351A"/>
    <w:rsid w:val="00E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DA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qFormat/>
    <w:rsid w:val="00696ADA"/>
    <w:pPr>
      <w:spacing w:after="0"/>
      <w:jc w:val="both"/>
      <w:outlineLvl w:val="0"/>
    </w:pPr>
    <w:rPr>
      <w:rFonts w:ascii="Arial" w:eastAsia="Times New Roman" w:hAnsi="Arial" w:cs="Arial"/>
      <w:b/>
      <w:color w:val="000000"/>
      <w:sz w:val="40"/>
      <w:szCs w:val="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6ADA"/>
    <w:rPr>
      <w:rFonts w:ascii="Arial" w:eastAsia="Times New Roman" w:hAnsi="Arial" w:cs="Arial"/>
      <w:b/>
      <w:color w:val="000000"/>
      <w:sz w:val="40"/>
      <w:szCs w:val="40"/>
      <w:lang w:eastAsia="da-DK"/>
    </w:rPr>
  </w:style>
  <w:style w:type="character" w:customStyle="1" w:styleId="TypografiArial">
    <w:name w:val="Typografi Arial"/>
    <w:basedOn w:val="Standardskrifttypeiafsnit"/>
    <w:rsid w:val="00696ADA"/>
    <w:rPr>
      <w:rFonts w:ascii="Arial" w:hAnsi="Arial" w:cs="Arial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6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1EA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86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1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DA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qFormat/>
    <w:rsid w:val="00696ADA"/>
    <w:pPr>
      <w:spacing w:after="0"/>
      <w:jc w:val="both"/>
      <w:outlineLvl w:val="0"/>
    </w:pPr>
    <w:rPr>
      <w:rFonts w:ascii="Arial" w:eastAsia="Times New Roman" w:hAnsi="Arial" w:cs="Arial"/>
      <w:b/>
      <w:color w:val="000000"/>
      <w:sz w:val="40"/>
      <w:szCs w:val="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6ADA"/>
    <w:rPr>
      <w:rFonts w:ascii="Arial" w:eastAsia="Times New Roman" w:hAnsi="Arial" w:cs="Arial"/>
      <w:b/>
      <w:color w:val="000000"/>
      <w:sz w:val="40"/>
      <w:szCs w:val="40"/>
      <w:lang w:eastAsia="da-DK"/>
    </w:rPr>
  </w:style>
  <w:style w:type="character" w:customStyle="1" w:styleId="TypografiArial">
    <w:name w:val="Typografi Arial"/>
    <w:basedOn w:val="Standardskrifttypeiafsnit"/>
    <w:rsid w:val="00696ADA"/>
    <w:rPr>
      <w:rFonts w:ascii="Arial" w:hAnsi="Arial" w:cs="Arial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6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1EA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86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CFD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Hansen</dc:creator>
  <cp:lastModifiedBy>Pia Hesse</cp:lastModifiedBy>
  <cp:revision>6</cp:revision>
  <cp:lastPrinted>2019-01-24T12:40:00Z</cp:lastPrinted>
  <dcterms:created xsi:type="dcterms:W3CDTF">2019-01-23T10:04:00Z</dcterms:created>
  <dcterms:modified xsi:type="dcterms:W3CDTF">2019-02-19T11:40:00Z</dcterms:modified>
</cp:coreProperties>
</file>